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5C" w:rsidRPr="00E235C8" w:rsidRDefault="00D26BA1" w:rsidP="00E235C8">
      <w:pPr>
        <w:jc w:val="center"/>
        <w:rPr>
          <w:b/>
          <w:sz w:val="32"/>
        </w:rPr>
      </w:pPr>
      <w:r w:rsidRPr="00E235C8">
        <w:rPr>
          <w:b/>
          <w:sz w:val="32"/>
        </w:rPr>
        <w:t>Super-</w:t>
      </w:r>
      <w:r w:rsidR="00E85DF9" w:rsidRPr="00E235C8">
        <w:rPr>
          <w:b/>
          <w:sz w:val="32"/>
        </w:rPr>
        <w:t>Efficient Equipment</w:t>
      </w:r>
      <w:r w:rsidR="00A10555" w:rsidRPr="00E235C8">
        <w:rPr>
          <w:b/>
          <w:sz w:val="32"/>
        </w:rPr>
        <w:t xml:space="preserve"> </w:t>
      </w:r>
      <w:r w:rsidR="00E76A5C" w:rsidRPr="00E235C8">
        <w:rPr>
          <w:b/>
          <w:sz w:val="32"/>
        </w:rPr>
        <w:t>Program</w:t>
      </w:r>
      <w:r w:rsidR="00BF2F75" w:rsidRPr="00E235C8">
        <w:rPr>
          <w:b/>
          <w:sz w:val="32"/>
        </w:rPr>
        <w:t>me</w:t>
      </w:r>
      <w:r w:rsidR="00D759BF" w:rsidRPr="00E235C8">
        <w:rPr>
          <w:b/>
          <w:sz w:val="32"/>
        </w:rPr>
        <w:t xml:space="preserve"> (SEEP</w:t>
      </w:r>
      <w:proofErr w:type="gramStart"/>
      <w:r w:rsidR="00D759BF" w:rsidRPr="00E235C8">
        <w:rPr>
          <w:b/>
          <w:sz w:val="32"/>
        </w:rPr>
        <w:t>)</w:t>
      </w:r>
      <w:proofErr w:type="gramEnd"/>
      <w:r w:rsidR="00D759BF" w:rsidRPr="00E235C8">
        <w:rPr>
          <w:b/>
          <w:sz w:val="32"/>
        </w:rPr>
        <w:br/>
      </w:r>
      <w:r w:rsidR="00E235C8" w:rsidRPr="00E235C8">
        <w:rPr>
          <w:b/>
          <w:i/>
          <w:sz w:val="32"/>
        </w:rPr>
        <w:t>(Frequently Asked Questions)</w:t>
      </w:r>
    </w:p>
    <w:p w:rsidR="00E76A5C" w:rsidRPr="00E76A5C" w:rsidRDefault="00E76A5C" w:rsidP="00E235C8">
      <w:pPr>
        <w:jc w:val="both"/>
      </w:pPr>
      <w:r>
        <w:t xml:space="preserve">The </w:t>
      </w:r>
      <w:r w:rsidR="001F19DD">
        <w:t>Bureau of Energy Efficiency (</w:t>
      </w:r>
      <w:r>
        <w:t>BEE</w:t>
      </w:r>
      <w:r w:rsidR="001F19DD">
        <w:t>)</w:t>
      </w:r>
      <w:r w:rsidR="00E235C8">
        <w:t xml:space="preserve"> is proposing a Super-</w:t>
      </w:r>
      <w:r>
        <w:t>Efficient Equipment Program</w:t>
      </w:r>
      <w:r w:rsidR="001F19DD">
        <w:t>me (SEEP)</w:t>
      </w:r>
      <w:r>
        <w:t xml:space="preserve"> under the 12</w:t>
      </w:r>
      <w:r w:rsidRPr="00E76A5C">
        <w:rPr>
          <w:vertAlign w:val="superscript"/>
        </w:rPr>
        <w:t>th</w:t>
      </w:r>
      <w:r w:rsidR="001F19DD">
        <w:t xml:space="preserve">Five Year </w:t>
      </w:r>
      <w:r>
        <w:t>Plan</w:t>
      </w:r>
      <w:r w:rsidR="00547633">
        <w:t>. Th</w:t>
      </w:r>
      <w:r w:rsidR="001F19DD">
        <w:t>is</w:t>
      </w:r>
      <w:r w:rsidR="00547633">
        <w:t xml:space="preserve"> note </w:t>
      </w:r>
      <w:r w:rsidR="003F7E22">
        <w:t xml:space="preserve">explains </w:t>
      </w:r>
      <w:r w:rsidR="00990CF0">
        <w:t xml:space="preserve">the </w:t>
      </w:r>
      <w:r w:rsidR="003F7E22">
        <w:t xml:space="preserve">rationale </w:t>
      </w:r>
      <w:r w:rsidR="00D759BF">
        <w:t xml:space="preserve">of such a program and </w:t>
      </w:r>
      <w:r w:rsidR="00990CF0">
        <w:t xml:space="preserve">its </w:t>
      </w:r>
      <w:r w:rsidR="003F7E22">
        <w:t>features</w:t>
      </w:r>
      <w:r w:rsidR="00547633">
        <w:t>.</w:t>
      </w:r>
      <w:r w:rsidR="00D759BF">
        <w:t xml:space="preserve"> It discusses common concerns related to it, in a format of question and answers.</w:t>
      </w:r>
    </w:p>
    <w:p w:rsidR="00034874" w:rsidRPr="00E13D6E" w:rsidRDefault="00034874" w:rsidP="00E235C8">
      <w:pPr>
        <w:jc w:val="both"/>
        <w:rPr>
          <w:b/>
        </w:rPr>
      </w:pPr>
      <w:r w:rsidRPr="00E13D6E">
        <w:rPr>
          <w:b/>
        </w:rPr>
        <w:t>Introduction</w:t>
      </w:r>
    </w:p>
    <w:p w:rsidR="00BC75BC" w:rsidRDefault="009106FC" w:rsidP="00E235C8">
      <w:pPr>
        <w:jc w:val="both"/>
      </w:pPr>
      <w:r>
        <w:t xml:space="preserve">The consumption of power in India must be reduced in order to limit our dependence on imported coal, and </w:t>
      </w:r>
      <w:r w:rsidR="00D759BF">
        <w:t xml:space="preserve">also to </w:t>
      </w:r>
      <w:r>
        <w:t xml:space="preserve">meet our international </w:t>
      </w:r>
      <w:r w:rsidR="00D759BF">
        <w:t xml:space="preserve">voluntary </w:t>
      </w:r>
      <w:r>
        <w:t xml:space="preserve">commitment to </w:t>
      </w:r>
      <w:r w:rsidR="00D759BF">
        <w:t xml:space="preserve">reduce </w:t>
      </w:r>
      <w:r>
        <w:t>emissions</w:t>
      </w:r>
      <w:r w:rsidR="00D759BF">
        <w:t>’</w:t>
      </w:r>
      <w:r>
        <w:t xml:space="preserve"> intensity</w:t>
      </w:r>
      <w:r w:rsidR="00D759BF">
        <w:t xml:space="preserve"> by 20-25 percent by 2020</w:t>
      </w:r>
      <w:r>
        <w:t>.</w:t>
      </w:r>
    </w:p>
    <w:p w:rsidR="00034874" w:rsidRDefault="007B1AC6" w:rsidP="00E235C8">
      <w:pPr>
        <w:jc w:val="both"/>
      </w:pPr>
      <w:r>
        <w:t>T</w:t>
      </w:r>
      <w:r w:rsidR="005061CE">
        <w:t xml:space="preserve">he purchase of </w:t>
      </w:r>
      <w:r w:rsidR="003A6278">
        <w:t xml:space="preserve">electric </w:t>
      </w:r>
      <w:r w:rsidR="00034874">
        <w:t>appliance</w:t>
      </w:r>
      <w:r w:rsidR="005061CE">
        <w:t>s</w:t>
      </w:r>
      <w:r w:rsidR="00A62B99">
        <w:t xml:space="preserve"> </w:t>
      </w:r>
      <w:r w:rsidR="003A6278">
        <w:t xml:space="preserve">by consumers </w:t>
      </w:r>
      <w:r w:rsidR="005061CE">
        <w:t>is expected to increase rapidly</w:t>
      </w:r>
      <w:r>
        <w:t xml:space="preserve"> over the next decade,</w:t>
      </w:r>
      <w:r w:rsidR="00A62B99">
        <w:t xml:space="preserve"> </w:t>
      </w:r>
      <w:r>
        <w:t xml:space="preserve">accounting </w:t>
      </w:r>
      <w:r w:rsidR="00034874">
        <w:t xml:space="preserve">for </w:t>
      </w:r>
      <w:r w:rsidR="00A90A0F">
        <w:t xml:space="preserve">more than a quarter </w:t>
      </w:r>
      <w:r w:rsidR="00034874">
        <w:t>of the incre</w:t>
      </w:r>
      <w:r w:rsidR="005061CE">
        <w:t xml:space="preserve">mental </w:t>
      </w:r>
      <w:r w:rsidR="00034874">
        <w:t xml:space="preserve">power demand. </w:t>
      </w:r>
      <w:r w:rsidR="00A93862">
        <w:t>As c</w:t>
      </w:r>
      <w:r w:rsidR="00034874">
        <w:t xml:space="preserve">onsumers are reluctant to buy </w:t>
      </w:r>
      <w:r w:rsidR="00853A98">
        <w:t>energy</w:t>
      </w:r>
      <w:r>
        <w:t>-</w:t>
      </w:r>
      <w:r w:rsidR="00034874">
        <w:t xml:space="preserve">efficient appliances due to </w:t>
      </w:r>
      <w:r w:rsidR="005061CE">
        <w:t xml:space="preserve">their </w:t>
      </w:r>
      <w:r w:rsidR="00034874">
        <w:t xml:space="preserve">high sensitivity to </w:t>
      </w:r>
      <w:r w:rsidR="005061CE">
        <w:t xml:space="preserve">the </w:t>
      </w:r>
      <w:r w:rsidR="00034874">
        <w:t>first-cost</w:t>
      </w:r>
      <w:r w:rsidR="00A93862">
        <w:t>,</w:t>
      </w:r>
      <w:r w:rsidR="00034874">
        <w:t xml:space="preserve"> manufacturers do not produce efficient models. </w:t>
      </w:r>
      <w:r w:rsidR="00A93862">
        <w:t xml:space="preserve">Moreover, </w:t>
      </w:r>
      <w:r w:rsidR="00034874">
        <w:t>inefficient products</w:t>
      </w:r>
      <w:r w:rsidR="00170D44">
        <w:t xml:space="preserve"> </w:t>
      </w:r>
      <w:r w:rsidR="00A93862">
        <w:t xml:space="preserve">often yield </w:t>
      </w:r>
      <w:r w:rsidR="00034874">
        <w:t xml:space="preserve">higher profit margins </w:t>
      </w:r>
      <w:r w:rsidR="00A93862">
        <w:t xml:space="preserve">for </w:t>
      </w:r>
      <w:r w:rsidR="00034874">
        <w:t xml:space="preserve">the manufacturers. </w:t>
      </w:r>
      <w:r w:rsidR="00EA46D1">
        <w:t>As a result, t</w:t>
      </w:r>
      <w:r w:rsidR="00034874">
        <w:t>he country pay</w:t>
      </w:r>
      <w:r w:rsidR="00EA46D1">
        <w:t>s</w:t>
      </w:r>
      <w:r w:rsidR="00034874">
        <w:t xml:space="preserve"> a huge cost in </w:t>
      </w:r>
      <w:r w:rsidR="00EA46D1">
        <w:t xml:space="preserve">terms of deteriorating energy security, and </w:t>
      </w:r>
      <w:r w:rsidR="00034874">
        <w:t>large upfront investment</w:t>
      </w:r>
      <w:r w:rsidR="00A93862">
        <w:t>s</w:t>
      </w:r>
      <w:r w:rsidR="00034874">
        <w:t xml:space="preserve"> in </w:t>
      </w:r>
      <w:r w:rsidR="00A93862">
        <w:t xml:space="preserve">the </w:t>
      </w:r>
      <w:r w:rsidR="00EA46D1">
        <w:t xml:space="preserve">expansion of </w:t>
      </w:r>
      <w:r w:rsidR="00034874">
        <w:t xml:space="preserve">power </w:t>
      </w:r>
      <w:r w:rsidR="00EA46D1">
        <w:t>capacity</w:t>
      </w:r>
      <w:r w:rsidR="008E6577">
        <w:t>.</w:t>
      </w:r>
      <w:r w:rsidR="00170D44">
        <w:t xml:space="preserve"> </w:t>
      </w:r>
      <w:r w:rsidR="008E6577">
        <w:t>T</w:t>
      </w:r>
      <w:r w:rsidR="00A93862">
        <w:t xml:space="preserve">he </w:t>
      </w:r>
      <w:proofErr w:type="gramStart"/>
      <w:r w:rsidR="008E6577">
        <w:t>ultimate</w:t>
      </w:r>
      <w:proofErr w:type="gramEnd"/>
      <w:r w:rsidR="008E6577">
        <w:t xml:space="preserve"> </w:t>
      </w:r>
      <w:r w:rsidR="00EA46D1">
        <w:t xml:space="preserve">cost is </w:t>
      </w:r>
      <w:r w:rsidR="00A93862">
        <w:t>borne by</w:t>
      </w:r>
      <w:r w:rsidR="00EA46D1" w:rsidRPr="008F1011">
        <w:t xml:space="preserve"> consumers</w:t>
      </w:r>
      <w:r w:rsidR="00034874">
        <w:t>.</w:t>
      </w:r>
    </w:p>
    <w:p w:rsidR="00034874" w:rsidRDefault="00034874" w:rsidP="00E235C8">
      <w:pPr>
        <w:jc w:val="both"/>
      </w:pPr>
      <w:r>
        <w:t xml:space="preserve">Standards </w:t>
      </w:r>
      <w:r w:rsidR="008E6577">
        <w:t xml:space="preserve">set a minimum efficiency threshold, </w:t>
      </w:r>
      <w:r>
        <w:t xml:space="preserve">and </w:t>
      </w:r>
      <w:r w:rsidR="002162E9">
        <w:t>labeling</w:t>
      </w:r>
      <w:r w:rsidR="00170D44">
        <w:t xml:space="preserve"> </w:t>
      </w:r>
      <w:r w:rsidR="008E6577">
        <w:t>increases consumer awareness</w:t>
      </w:r>
      <w:r>
        <w:t xml:space="preserve">. </w:t>
      </w:r>
      <w:r w:rsidR="00B61155">
        <w:t xml:space="preserve">However, </w:t>
      </w:r>
      <w:r w:rsidR="00EA46D1">
        <w:t>th</w:t>
      </w:r>
      <w:r w:rsidR="00B61155">
        <w:t>ese</w:t>
      </w:r>
      <w:r w:rsidR="00EA46D1">
        <w:t xml:space="preserve"> process</w:t>
      </w:r>
      <w:r w:rsidR="00B61155">
        <w:t>es</w:t>
      </w:r>
      <w:r w:rsidR="00170D44">
        <w:t xml:space="preserve"> </w:t>
      </w:r>
      <w:r w:rsidR="00B61155">
        <w:t>are</w:t>
      </w:r>
      <w:r w:rsidR="00EA46D1">
        <w:t xml:space="preserve"> slow. The </w:t>
      </w:r>
      <w:r>
        <w:t>super</w:t>
      </w:r>
      <w:r w:rsidR="00B61155">
        <w:t>-</w:t>
      </w:r>
      <w:r>
        <w:t xml:space="preserve">efficient appliances (SEAs) available in </w:t>
      </w:r>
      <w:r w:rsidR="002162E9">
        <w:t xml:space="preserve">the </w:t>
      </w:r>
      <w:r>
        <w:t>world</w:t>
      </w:r>
      <w:r w:rsidR="00EA46D1">
        <w:t xml:space="preserve"> us</w:t>
      </w:r>
      <w:r w:rsidR="002162E9">
        <w:t>e</w:t>
      </w:r>
      <w:r w:rsidR="00EA46D1">
        <w:t xml:space="preserve"> advance</w:t>
      </w:r>
      <w:r w:rsidR="00853A98">
        <w:t>d</w:t>
      </w:r>
      <w:r w:rsidR="00EA46D1">
        <w:t xml:space="preserve"> technology</w:t>
      </w:r>
      <w:r w:rsidR="00170D44">
        <w:t xml:space="preserve"> </w:t>
      </w:r>
      <w:r w:rsidR="002162E9">
        <w:t xml:space="preserve">to </w:t>
      </w:r>
      <w:r>
        <w:t xml:space="preserve">reduce </w:t>
      </w:r>
      <w:r w:rsidR="00EA46D1">
        <w:t xml:space="preserve">power </w:t>
      </w:r>
      <w:r>
        <w:t xml:space="preserve">consumption by </w:t>
      </w:r>
      <w:r w:rsidR="00EA46D1">
        <w:t xml:space="preserve">as much as </w:t>
      </w:r>
      <w:r>
        <w:t xml:space="preserve">40 to 60% </w:t>
      </w:r>
      <w:r w:rsidR="002162E9">
        <w:t xml:space="preserve">compared to </w:t>
      </w:r>
      <w:r w:rsidR="00EA46D1">
        <w:t xml:space="preserve">even </w:t>
      </w:r>
      <w:r w:rsidR="00F54EBF">
        <w:t>5-star</w:t>
      </w:r>
      <w:r>
        <w:t xml:space="preserve"> models</w:t>
      </w:r>
      <w:r w:rsidR="002162E9">
        <w:t xml:space="preserve">. </w:t>
      </w:r>
      <w:r w:rsidR="00B61155">
        <w:t>The t</w:t>
      </w:r>
      <w:r w:rsidR="002162E9">
        <w:t>able below shows the present production</w:t>
      </w:r>
      <w:r w:rsidR="00D759BF">
        <w:t xml:space="preserve"> for </w:t>
      </w:r>
      <w:r w:rsidR="00193E09">
        <w:t xml:space="preserve">ceiling </w:t>
      </w:r>
      <w:r>
        <w:t xml:space="preserve">fans, </w:t>
      </w:r>
      <w:r w:rsidR="00193E09">
        <w:t xml:space="preserve">air-conditioners, </w:t>
      </w:r>
      <w:r>
        <w:t xml:space="preserve">refrigerators, </w:t>
      </w:r>
      <w:r w:rsidR="00EA46D1">
        <w:t xml:space="preserve">and </w:t>
      </w:r>
      <w:r w:rsidR="00193E09">
        <w:t>televisions, as well as</w:t>
      </w:r>
      <w:r w:rsidR="002162E9">
        <w:t xml:space="preserve"> the difference in </w:t>
      </w:r>
      <w:r w:rsidR="00B61155">
        <w:t xml:space="preserve">the </w:t>
      </w:r>
      <w:r w:rsidR="00D759BF">
        <w:t xml:space="preserve">electricity </w:t>
      </w:r>
      <w:r w:rsidR="002162E9">
        <w:t>consumption level of the</w:t>
      </w:r>
      <w:r w:rsidR="00344443">
        <w:t xml:space="preserve"> 5</w:t>
      </w:r>
      <w:r w:rsidR="00B61155">
        <w:t>-</w:t>
      </w:r>
      <w:r w:rsidR="00344443">
        <w:t xml:space="preserve">star model </w:t>
      </w:r>
      <w:r w:rsidR="00B61155">
        <w:t xml:space="preserve">currently available in the market, </w:t>
      </w:r>
      <w:r w:rsidR="002162E9">
        <w:t xml:space="preserve">with </w:t>
      </w:r>
      <w:r w:rsidR="00B61155">
        <w:t xml:space="preserve">that of </w:t>
      </w:r>
      <w:r w:rsidR="002162E9">
        <w:t>the super</w:t>
      </w:r>
      <w:r w:rsidR="00B61155">
        <w:t>-</w:t>
      </w:r>
      <w:r w:rsidR="002162E9">
        <w:t>efficient model</w:t>
      </w:r>
      <w:r>
        <w:t xml:space="preserve">. </w:t>
      </w:r>
      <w:r w:rsidR="00B768F9">
        <w:t xml:space="preserve">As seen in the </w:t>
      </w:r>
      <w:r w:rsidR="00354B0A">
        <w:t>t</w:t>
      </w:r>
      <w:r w:rsidR="00B768F9">
        <w:t xml:space="preserve">able, we produce about </w:t>
      </w:r>
      <w:r w:rsidR="00344443">
        <w:t>3</w:t>
      </w:r>
      <w:r w:rsidR="00B768F9">
        <w:t>crore</w:t>
      </w:r>
      <w:r w:rsidR="00170D44">
        <w:t xml:space="preserve"> </w:t>
      </w:r>
      <w:r w:rsidR="00344443">
        <w:t xml:space="preserve">ceiling </w:t>
      </w:r>
      <w:r w:rsidR="00B768F9">
        <w:t>fans</w:t>
      </w:r>
      <w:r w:rsidR="00354B0A">
        <w:t>,</w:t>
      </w:r>
      <w:r w:rsidR="00344443">
        <w:t xml:space="preserve"> 31 lakh </w:t>
      </w:r>
      <w:r w:rsidR="00354B0A">
        <w:t>air-conditioners</w:t>
      </w:r>
      <w:r w:rsidR="00344443">
        <w:t>, 88 lakh refrigerators</w:t>
      </w:r>
      <w:r w:rsidR="00354B0A">
        <w:t>,</w:t>
      </w:r>
      <w:r w:rsidR="00344443">
        <w:t xml:space="preserve"> and 1.</w:t>
      </w:r>
      <w:r w:rsidR="00B37891">
        <w:t xml:space="preserve">5 </w:t>
      </w:r>
      <w:r w:rsidR="00B768F9">
        <w:t>crore</w:t>
      </w:r>
      <w:r w:rsidR="00170D44">
        <w:t xml:space="preserve"> </w:t>
      </w:r>
      <w:r w:rsidR="00354B0A">
        <w:t xml:space="preserve">televisions. Moreover, </w:t>
      </w:r>
      <w:r w:rsidR="00B768F9">
        <w:t xml:space="preserve">the sales </w:t>
      </w:r>
      <w:r w:rsidR="00354B0A">
        <w:t xml:space="preserve">of these appliances </w:t>
      </w:r>
      <w:r w:rsidR="00B768F9">
        <w:t xml:space="preserve">are increasing at a very </w:t>
      </w:r>
      <w:r w:rsidR="00241D37">
        <w:t xml:space="preserve">fast </w:t>
      </w:r>
      <w:r w:rsidR="00B768F9">
        <w:t xml:space="preserve">pace. </w:t>
      </w:r>
      <w:r w:rsidR="002162E9">
        <w:t xml:space="preserve">A </w:t>
      </w:r>
      <w:r w:rsidR="00EA46D1">
        <w:t xml:space="preserve">rapid penetration of </w:t>
      </w:r>
      <w:r>
        <w:t>super</w:t>
      </w:r>
      <w:r w:rsidR="00354B0A">
        <w:t>-</w:t>
      </w:r>
      <w:r>
        <w:t>efficient</w:t>
      </w:r>
      <w:r w:rsidR="004215EF">
        <w:t xml:space="preserve"> </w:t>
      </w:r>
      <w:r w:rsidR="00EA46D1">
        <w:t>models of the</w:t>
      </w:r>
      <w:r w:rsidR="00354B0A">
        <w:t>se</w:t>
      </w:r>
      <w:r w:rsidR="00EA46D1">
        <w:t xml:space="preserve"> four </w:t>
      </w:r>
      <w:r>
        <w:t>appliances</w:t>
      </w:r>
      <w:r w:rsidR="00EA46D1">
        <w:t xml:space="preserve"> can save as much as 20,000 MW </w:t>
      </w:r>
      <w:r w:rsidR="00344443">
        <w:t xml:space="preserve">of peak capacity </w:t>
      </w:r>
      <w:r w:rsidR="002162E9">
        <w:t xml:space="preserve">(and </w:t>
      </w:r>
      <w:r w:rsidR="006816ED">
        <w:t>60</w:t>
      </w:r>
      <w:r w:rsidR="00170D44">
        <w:t xml:space="preserve"> </w:t>
      </w:r>
      <w:r w:rsidR="002162E9" w:rsidRPr="00B37891">
        <w:t>Billion Units</w:t>
      </w:r>
      <w:r w:rsidR="002162E9">
        <w:t xml:space="preserve">) </w:t>
      </w:r>
      <w:r w:rsidR="00EA46D1">
        <w:t>by 2020</w:t>
      </w:r>
      <w:r w:rsidR="00354B0A">
        <w:t>,</w:t>
      </w:r>
      <w:r w:rsidR="00EA46D1">
        <w:t xml:space="preserve"> compared to the </w:t>
      </w:r>
      <w:r w:rsidR="006816ED">
        <w:t>moderate</w:t>
      </w:r>
      <w:r w:rsidR="00170D44">
        <w:t xml:space="preserve"> </w:t>
      </w:r>
      <w:r w:rsidR="00354B0A">
        <w:t>Standards and Labeling (</w:t>
      </w:r>
      <w:r w:rsidR="00EA46D1">
        <w:t>S&amp;L</w:t>
      </w:r>
      <w:r w:rsidR="00354B0A">
        <w:t>)</w:t>
      </w:r>
      <w:r w:rsidR="00170D44">
        <w:t xml:space="preserve"> </w:t>
      </w:r>
      <w:proofErr w:type="gramStart"/>
      <w:r w:rsidR="00EA46D1">
        <w:t>program</w:t>
      </w:r>
      <w:r w:rsidR="00354B0A">
        <w:t>me</w:t>
      </w:r>
      <w:r w:rsidR="00170CF9">
        <w:t>.</w:t>
      </w:r>
      <w:r w:rsidR="00170CF9">
        <w:rPr>
          <w:rStyle w:val="FootnoteReference"/>
        </w:rPr>
        <w:footnoteReference w:id="1"/>
      </w:r>
      <w:r w:rsidR="00354B0A" w:rsidRPr="00D47AE7">
        <w:rPr>
          <w:vertAlign w:val="superscript"/>
        </w:rPr>
        <w:t>,</w:t>
      </w:r>
      <w:proofErr w:type="gramEnd"/>
      <w:r w:rsidR="00170CF9">
        <w:rPr>
          <w:rStyle w:val="FootnoteReference"/>
        </w:rPr>
        <w:footnoteReference w:id="2"/>
      </w:r>
      <w:r w:rsidR="0057293C">
        <w:rPr>
          <w:vertAlign w:val="superscript"/>
        </w:rPr>
        <w:t xml:space="preserve"> </w:t>
      </w:r>
      <w:r w:rsidR="0057293C">
        <w:t>Other appliances and equipment like lighting and agricultural pumps also have similar kind  of saving potential.</w:t>
      </w:r>
    </w:p>
    <w:p w:rsidR="001D7FC8" w:rsidRPr="0022523D" w:rsidRDefault="002162E9" w:rsidP="00E235C8">
      <w:pPr>
        <w:jc w:val="both"/>
        <w:rPr>
          <w:rFonts w:ascii="Calibri" w:eastAsia="Times New Roman" w:hAnsi="Calibri" w:cs="Times New Roman"/>
          <w:b/>
        </w:rPr>
      </w:pPr>
      <w:r w:rsidRPr="002162E9">
        <w:rPr>
          <w:b/>
        </w:rPr>
        <w:t xml:space="preserve">Table: </w:t>
      </w:r>
      <w:r w:rsidR="001D7FC8" w:rsidRPr="0022523D">
        <w:rPr>
          <w:rFonts w:ascii="Calibri" w:eastAsia="Times New Roman" w:hAnsi="Calibri" w:cs="Times New Roman"/>
          <w:b/>
        </w:rPr>
        <w:t>Energy Saving</w:t>
      </w:r>
      <w:r w:rsidR="00354B0A">
        <w:rPr>
          <w:rFonts w:ascii="Calibri" w:eastAsia="Times New Roman" w:hAnsi="Calibri" w:cs="Times New Roman"/>
          <w:b/>
        </w:rPr>
        <w:t>s</w:t>
      </w:r>
      <w:r w:rsidR="001D7FC8" w:rsidRPr="0022523D">
        <w:rPr>
          <w:rFonts w:ascii="Calibri" w:eastAsia="Times New Roman" w:hAnsi="Calibri" w:cs="Times New Roman"/>
          <w:b/>
        </w:rPr>
        <w:t xml:space="preserve"> of Super</w:t>
      </w:r>
      <w:r w:rsidR="00354B0A">
        <w:rPr>
          <w:rFonts w:ascii="Calibri" w:eastAsia="Times New Roman" w:hAnsi="Calibri" w:cs="Times New Roman"/>
          <w:b/>
        </w:rPr>
        <w:t>-</w:t>
      </w:r>
      <w:r w:rsidR="001D7FC8" w:rsidRPr="0022523D">
        <w:rPr>
          <w:rFonts w:ascii="Calibri" w:eastAsia="Times New Roman" w:hAnsi="Calibri" w:cs="Times New Roman"/>
          <w:b/>
        </w:rPr>
        <w:t xml:space="preserve">Efficient Appliance models compared to </w:t>
      </w:r>
      <w:r w:rsidR="00450BFD">
        <w:rPr>
          <w:rFonts w:ascii="Calibri" w:eastAsia="Times New Roman" w:hAnsi="Calibri" w:cs="Times New Roman"/>
          <w:b/>
        </w:rPr>
        <w:t>5</w:t>
      </w:r>
      <w:r w:rsidR="001D7FC8" w:rsidRPr="0022523D">
        <w:rPr>
          <w:rFonts w:ascii="Calibri" w:eastAsia="Times New Roman" w:hAnsi="Calibri" w:cs="Times New Roman"/>
          <w:b/>
        </w:rPr>
        <w:t>-Star models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432"/>
        <w:gridCol w:w="1546"/>
        <w:gridCol w:w="3969"/>
      </w:tblGrid>
      <w:tr w:rsidR="00E85DF9" w:rsidRPr="0040635F" w:rsidTr="00B37891">
        <w:trPr>
          <w:trHeight w:val="706"/>
        </w:trPr>
        <w:tc>
          <w:tcPr>
            <w:tcW w:w="1525" w:type="dxa"/>
            <w:hideMark/>
          </w:tcPr>
          <w:p w:rsidR="00E85DF9" w:rsidRPr="00361786" w:rsidRDefault="00E85DF9" w:rsidP="00E235C8">
            <w:pPr>
              <w:jc w:val="both"/>
              <w:rPr>
                <w:rFonts w:ascii="Calibri" w:eastAsia="Times New Roman" w:hAnsi="Calibri" w:cs="Times New Roman"/>
                <w:b/>
              </w:rPr>
            </w:pPr>
            <w:r w:rsidRPr="00361786">
              <w:rPr>
                <w:rFonts w:ascii="Calibri" w:eastAsia="Times New Roman" w:hAnsi="Calibri" w:cs="Times New Roman"/>
                <w:b/>
                <w:lang w:val="en-GB"/>
              </w:rPr>
              <w:t>Appliance</w:t>
            </w:r>
          </w:p>
        </w:tc>
        <w:tc>
          <w:tcPr>
            <w:tcW w:w="1432" w:type="dxa"/>
          </w:tcPr>
          <w:p w:rsidR="00E85DF9" w:rsidRPr="00361786" w:rsidRDefault="00E85DF9" w:rsidP="00E235C8">
            <w:pPr>
              <w:jc w:val="both"/>
              <w:rPr>
                <w:rFonts w:ascii="Calibri" w:eastAsia="Times New Roman" w:hAnsi="Calibri" w:cs="Times New Roman"/>
                <w:b/>
                <w:lang w:val="en-GB"/>
              </w:rPr>
            </w:pPr>
            <w:r>
              <w:rPr>
                <w:rFonts w:ascii="Calibri" w:eastAsia="Times New Roman" w:hAnsi="Calibri" w:cs="Times New Roman"/>
                <w:b/>
                <w:lang w:val="en-GB"/>
              </w:rPr>
              <w:t xml:space="preserve">Current Sale </w:t>
            </w:r>
            <w:proofErr w:type="gramStart"/>
            <w:r w:rsidRPr="00361786">
              <w:rPr>
                <w:rFonts w:ascii="Calibri" w:eastAsia="Times New Roman" w:hAnsi="Calibri" w:cs="Times New Roman"/>
                <w:b/>
                <w:lang w:val="en-GB"/>
              </w:rPr>
              <w:t>(</w:t>
            </w:r>
            <w:r>
              <w:rPr>
                <w:rFonts w:ascii="Calibri" w:eastAsia="Times New Roman" w:hAnsi="Calibri" w:cs="Times New Roman"/>
                <w:b/>
                <w:lang w:val="en-GB"/>
              </w:rPr>
              <w:t>Million</w:t>
            </w:r>
            <w:r w:rsidRPr="00361786">
              <w:rPr>
                <w:rFonts w:ascii="Calibri" w:eastAsia="Times New Roman" w:hAnsi="Calibri" w:cs="Times New Roman"/>
                <w:b/>
                <w:lang w:val="en-GB"/>
              </w:rPr>
              <w:t xml:space="preserve"> p.a.)</w:t>
            </w:r>
            <w:proofErr w:type="gramEnd"/>
          </w:p>
        </w:tc>
        <w:tc>
          <w:tcPr>
            <w:tcW w:w="1546" w:type="dxa"/>
            <w:hideMark/>
          </w:tcPr>
          <w:p w:rsidR="00E85DF9" w:rsidRPr="00361786" w:rsidRDefault="00E85DF9" w:rsidP="00E235C8">
            <w:pPr>
              <w:jc w:val="both"/>
              <w:rPr>
                <w:rFonts w:ascii="Calibri" w:eastAsia="Times New Roman" w:hAnsi="Calibri" w:cs="Times New Roman"/>
                <w:b/>
              </w:rPr>
            </w:pPr>
            <w:r w:rsidRPr="00361786">
              <w:rPr>
                <w:rFonts w:ascii="Calibri" w:eastAsia="Times New Roman" w:hAnsi="Calibri" w:cs="Times New Roman"/>
                <w:b/>
                <w:lang w:val="en-GB"/>
              </w:rPr>
              <w:t>Decrease in consumption</w:t>
            </w:r>
            <w:r>
              <w:rPr>
                <w:rFonts w:ascii="Calibri" w:eastAsia="Times New Roman" w:hAnsi="Calibri" w:cs="Times New Roman"/>
                <w:b/>
                <w:vertAlign w:val="superscript"/>
                <w:lang w:val="en-GB"/>
              </w:rPr>
              <w:t>#</w:t>
            </w:r>
          </w:p>
        </w:tc>
        <w:tc>
          <w:tcPr>
            <w:tcW w:w="3969" w:type="dxa"/>
            <w:hideMark/>
          </w:tcPr>
          <w:p w:rsidR="00E85DF9" w:rsidRPr="00361786" w:rsidRDefault="00E85DF9" w:rsidP="00E235C8">
            <w:pPr>
              <w:jc w:val="both"/>
              <w:rPr>
                <w:rFonts w:ascii="Calibri" w:eastAsia="Times New Roman" w:hAnsi="Calibri" w:cs="Times New Roman"/>
                <w:b/>
              </w:rPr>
            </w:pPr>
            <w:r>
              <w:rPr>
                <w:rFonts w:ascii="Calibri" w:eastAsia="Times New Roman" w:hAnsi="Calibri" w:cs="Times New Roman"/>
                <w:b/>
                <w:lang w:val="en-GB"/>
              </w:rPr>
              <w:t>Basis for performance</w:t>
            </w:r>
          </w:p>
        </w:tc>
      </w:tr>
      <w:tr w:rsidR="00E85DF9" w:rsidRPr="0040635F" w:rsidTr="00B37891">
        <w:trPr>
          <w:trHeight w:val="307"/>
        </w:trPr>
        <w:tc>
          <w:tcPr>
            <w:tcW w:w="1525" w:type="dxa"/>
            <w:hideMark/>
          </w:tcPr>
          <w:p w:rsidR="00E85DF9" w:rsidRPr="004803A5" w:rsidRDefault="00E85DF9" w:rsidP="00E235C8">
            <w:pPr>
              <w:jc w:val="both"/>
              <w:rPr>
                <w:rFonts w:ascii="Calibri" w:eastAsia="Times New Roman" w:hAnsi="Calibri" w:cs="Times New Roman"/>
              </w:rPr>
            </w:pPr>
            <w:r w:rsidRPr="00361786">
              <w:rPr>
                <w:rFonts w:ascii="Calibri" w:eastAsia="Times New Roman" w:hAnsi="Calibri" w:cs="Times New Roman"/>
                <w:b/>
                <w:bCs/>
                <w:lang w:val="en-GB"/>
              </w:rPr>
              <w:t xml:space="preserve">Ceiling </w:t>
            </w:r>
            <w:r>
              <w:rPr>
                <w:rFonts w:ascii="Calibri" w:eastAsia="Times New Roman" w:hAnsi="Calibri" w:cs="Times New Roman"/>
                <w:b/>
                <w:bCs/>
                <w:lang w:val="en-GB"/>
              </w:rPr>
              <w:t>Fan</w:t>
            </w:r>
          </w:p>
        </w:tc>
        <w:tc>
          <w:tcPr>
            <w:tcW w:w="1432" w:type="dxa"/>
          </w:tcPr>
          <w:p w:rsidR="00E85DF9" w:rsidRPr="00361786" w:rsidRDefault="00E85DF9" w:rsidP="00E235C8">
            <w:pPr>
              <w:jc w:val="both"/>
              <w:rPr>
                <w:rFonts w:ascii="Calibri" w:eastAsia="Times New Roman" w:hAnsi="Calibri" w:cs="Arial"/>
                <w:szCs w:val="36"/>
              </w:rPr>
            </w:pPr>
            <w:r w:rsidRPr="00361786">
              <w:rPr>
                <w:rFonts w:ascii="Calibri" w:eastAsia="Times New Roman" w:hAnsi="Calibri" w:cs="Times New Roman"/>
                <w:kern w:val="24"/>
                <w:lang w:val="en-GB"/>
              </w:rPr>
              <w:t>30.0</w:t>
            </w:r>
          </w:p>
        </w:tc>
        <w:tc>
          <w:tcPr>
            <w:tcW w:w="1546" w:type="dxa"/>
            <w:hideMark/>
          </w:tcPr>
          <w:p w:rsidR="00E85DF9" w:rsidRPr="004803A5" w:rsidRDefault="00E85DF9" w:rsidP="00E235C8">
            <w:pPr>
              <w:jc w:val="both"/>
              <w:rPr>
                <w:rFonts w:ascii="Calibri" w:eastAsia="Times New Roman" w:hAnsi="Calibri" w:cs="Times New Roman"/>
              </w:rPr>
            </w:pPr>
            <w:r w:rsidRPr="00361786">
              <w:rPr>
                <w:rFonts w:ascii="Calibri" w:eastAsia="Times New Roman" w:hAnsi="Calibri" w:cs="Times New Roman"/>
              </w:rPr>
              <w:t>42 %</w:t>
            </w:r>
          </w:p>
        </w:tc>
        <w:tc>
          <w:tcPr>
            <w:tcW w:w="3969" w:type="dxa"/>
            <w:hideMark/>
          </w:tcPr>
          <w:p w:rsidR="00E85DF9" w:rsidRPr="004E3C45" w:rsidRDefault="00E85DF9" w:rsidP="00E235C8">
            <w:pPr>
              <w:jc w:val="both"/>
              <w:rPr>
                <w:rFonts w:ascii="Calibri" w:eastAsia="Times New Roman" w:hAnsi="Calibri" w:cs="Times New Roman"/>
                <w:sz w:val="20"/>
              </w:rPr>
            </w:pPr>
            <w:r w:rsidRPr="004E3C45">
              <w:rPr>
                <w:rFonts w:ascii="Calibri" w:eastAsia="Times New Roman" w:hAnsi="Calibri" w:cs="Times New Roman"/>
                <w:sz w:val="20"/>
                <w:lang w:val="en-GB"/>
              </w:rPr>
              <w:t xml:space="preserve">A brushless </w:t>
            </w:r>
            <w:r>
              <w:rPr>
                <w:rFonts w:ascii="Calibri" w:eastAsia="Times New Roman" w:hAnsi="Calibri" w:cs="Times New Roman"/>
                <w:sz w:val="20"/>
                <w:lang w:val="en-GB"/>
              </w:rPr>
              <w:t>DC</w:t>
            </w:r>
            <w:r w:rsidRPr="004E3C45">
              <w:rPr>
                <w:rFonts w:ascii="Calibri" w:eastAsia="Times New Roman" w:hAnsi="Calibri" w:cs="Times New Roman"/>
                <w:sz w:val="20"/>
                <w:lang w:val="en-GB"/>
              </w:rPr>
              <w:t xml:space="preserve"> (BLDC) motor</w:t>
            </w:r>
          </w:p>
        </w:tc>
      </w:tr>
      <w:tr w:rsidR="00E85DF9" w:rsidRPr="0040635F" w:rsidTr="00B37891">
        <w:trPr>
          <w:trHeight w:val="357"/>
        </w:trPr>
        <w:tc>
          <w:tcPr>
            <w:tcW w:w="1525" w:type="dxa"/>
            <w:hideMark/>
          </w:tcPr>
          <w:p w:rsidR="00E85DF9" w:rsidRPr="004803A5" w:rsidRDefault="00193E09" w:rsidP="00E235C8">
            <w:pPr>
              <w:jc w:val="both"/>
              <w:rPr>
                <w:rFonts w:ascii="Calibri" w:eastAsia="Times New Roman" w:hAnsi="Calibri" w:cs="Times New Roman"/>
              </w:rPr>
            </w:pPr>
            <w:r>
              <w:rPr>
                <w:rFonts w:ascii="Calibri" w:eastAsia="Times New Roman" w:hAnsi="Calibri" w:cs="Times New Roman"/>
                <w:b/>
                <w:bCs/>
                <w:lang w:val="en-GB"/>
              </w:rPr>
              <w:lastRenderedPageBreak/>
              <w:t>Air-conditioner</w:t>
            </w:r>
          </w:p>
        </w:tc>
        <w:tc>
          <w:tcPr>
            <w:tcW w:w="1432" w:type="dxa"/>
          </w:tcPr>
          <w:p w:rsidR="00E85DF9" w:rsidRPr="00361786" w:rsidRDefault="00E85DF9" w:rsidP="00E235C8">
            <w:pPr>
              <w:jc w:val="both"/>
              <w:rPr>
                <w:rFonts w:ascii="Calibri" w:eastAsia="Times New Roman" w:hAnsi="Calibri" w:cs="Arial"/>
                <w:szCs w:val="36"/>
              </w:rPr>
            </w:pPr>
            <w:r w:rsidRPr="00361786">
              <w:rPr>
                <w:rFonts w:ascii="Calibri" w:eastAsia="Times New Roman" w:hAnsi="Calibri" w:cs="Times New Roman"/>
                <w:kern w:val="24"/>
                <w:lang w:val="en-GB"/>
              </w:rPr>
              <w:t>3.1</w:t>
            </w:r>
          </w:p>
        </w:tc>
        <w:tc>
          <w:tcPr>
            <w:tcW w:w="1546" w:type="dxa"/>
            <w:hideMark/>
          </w:tcPr>
          <w:p w:rsidR="00E85DF9" w:rsidRPr="004803A5" w:rsidRDefault="00E85DF9" w:rsidP="00E235C8">
            <w:pPr>
              <w:jc w:val="both"/>
              <w:rPr>
                <w:rFonts w:ascii="Calibri" w:eastAsia="Times New Roman" w:hAnsi="Calibri" w:cs="Times New Roman"/>
              </w:rPr>
            </w:pPr>
            <w:r w:rsidRPr="004803A5">
              <w:rPr>
                <w:rFonts w:ascii="Calibri" w:eastAsia="Times New Roman" w:hAnsi="Calibri" w:cs="Times New Roman"/>
              </w:rPr>
              <w:t>36 %</w:t>
            </w:r>
          </w:p>
        </w:tc>
        <w:tc>
          <w:tcPr>
            <w:tcW w:w="3969" w:type="dxa"/>
            <w:hideMark/>
          </w:tcPr>
          <w:p w:rsidR="00E85DF9" w:rsidRPr="004E3C45" w:rsidRDefault="00E85DF9" w:rsidP="00E235C8">
            <w:pPr>
              <w:jc w:val="both"/>
              <w:rPr>
                <w:rFonts w:ascii="Calibri" w:eastAsia="Times New Roman" w:hAnsi="Calibri" w:cs="Times New Roman"/>
                <w:sz w:val="20"/>
              </w:rPr>
            </w:pPr>
            <w:r w:rsidRPr="004E3C45">
              <w:rPr>
                <w:rFonts w:ascii="Calibri" w:eastAsia="Times New Roman" w:hAnsi="Calibri" w:cs="Times New Roman"/>
                <w:sz w:val="20"/>
              </w:rPr>
              <w:t xml:space="preserve">Grade 1 AC </w:t>
            </w:r>
            <w:bookmarkStart w:id="0" w:name="_GoBack"/>
            <w:bookmarkEnd w:id="0"/>
            <w:r w:rsidRPr="004E3C45">
              <w:rPr>
                <w:rFonts w:ascii="Calibri" w:eastAsia="Times New Roman" w:hAnsi="Calibri" w:cs="Times New Roman"/>
                <w:sz w:val="20"/>
              </w:rPr>
              <w:t xml:space="preserve">(Source: Top 10 China, 2010) </w:t>
            </w:r>
          </w:p>
        </w:tc>
      </w:tr>
      <w:tr w:rsidR="00E85DF9" w:rsidRPr="0040635F" w:rsidTr="00B37891">
        <w:trPr>
          <w:trHeight w:val="549"/>
        </w:trPr>
        <w:tc>
          <w:tcPr>
            <w:tcW w:w="1525" w:type="dxa"/>
            <w:hideMark/>
          </w:tcPr>
          <w:p w:rsidR="00E85DF9" w:rsidRPr="004803A5" w:rsidRDefault="00E85DF9" w:rsidP="00E235C8">
            <w:pPr>
              <w:jc w:val="both"/>
              <w:rPr>
                <w:rFonts w:ascii="Calibri" w:eastAsia="Times New Roman" w:hAnsi="Calibri" w:cs="Times New Roman"/>
              </w:rPr>
            </w:pPr>
            <w:r w:rsidRPr="00361786">
              <w:rPr>
                <w:rFonts w:ascii="Calibri" w:eastAsia="Times New Roman" w:hAnsi="Calibri" w:cs="Times New Roman"/>
                <w:b/>
                <w:bCs/>
                <w:lang w:val="en-GB"/>
              </w:rPr>
              <w:t>Refrigerator</w:t>
            </w:r>
          </w:p>
        </w:tc>
        <w:tc>
          <w:tcPr>
            <w:tcW w:w="1432" w:type="dxa"/>
          </w:tcPr>
          <w:p w:rsidR="00E85DF9" w:rsidRPr="00361786" w:rsidRDefault="00E85DF9" w:rsidP="00E235C8">
            <w:pPr>
              <w:jc w:val="both"/>
              <w:rPr>
                <w:rFonts w:ascii="Calibri" w:eastAsia="Times New Roman" w:hAnsi="Calibri" w:cs="Arial"/>
                <w:szCs w:val="36"/>
              </w:rPr>
            </w:pPr>
            <w:r w:rsidRPr="00361786">
              <w:rPr>
                <w:rFonts w:ascii="Calibri" w:eastAsia="Times New Roman" w:hAnsi="Calibri" w:cs="Times New Roman"/>
                <w:kern w:val="24"/>
                <w:lang w:val="en-GB"/>
              </w:rPr>
              <w:t>8.8</w:t>
            </w:r>
          </w:p>
        </w:tc>
        <w:tc>
          <w:tcPr>
            <w:tcW w:w="1546" w:type="dxa"/>
            <w:hideMark/>
          </w:tcPr>
          <w:p w:rsidR="00E85DF9" w:rsidRPr="004803A5" w:rsidRDefault="00E85DF9" w:rsidP="00E235C8">
            <w:pPr>
              <w:jc w:val="both"/>
              <w:rPr>
                <w:rFonts w:ascii="Calibri" w:eastAsia="Times New Roman" w:hAnsi="Calibri" w:cs="Times New Roman"/>
              </w:rPr>
            </w:pPr>
            <w:r w:rsidRPr="00361786">
              <w:rPr>
                <w:rFonts w:ascii="Calibri" w:eastAsia="Times New Roman" w:hAnsi="Calibri" w:cs="Times New Roman"/>
              </w:rPr>
              <w:t>69 %</w:t>
            </w:r>
          </w:p>
        </w:tc>
        <w:tc>
          <w:tcPr>
            <w:tcW w:w="3969" w:type="dxa"/>
            <w:hideMark/>
          </w:tcPr>
          <w:p w:rsidR="00E85DF9" w:rsidRPr="004E3C45" w:rsidRDefault="00E85DF9" w:rsidP="00E235C8">
            <w:pPr>
              <w:jc w:val="both"/>
              <w:rPr>
                <w:rFonts w:ascii="Calibri" w:eastAsia="Times New Roman" w:hAnsi="Calibri" w:cs="Times New Roman"/>
                <w:sz w:val="20"/>
              </w:rPr>
            </w:pPr>
            <w:r w:rsidRPr="004E3C45">
              <w:rPr>
                <w:rFonts w:ascii="Calibri" w:eastAsia="Times New Roman" w:hAnsi="Calibri" w:cs="Times New Roman"/>
                <w:sz w:val="20"/>
              </w:rPr>
              <w:t>Grade 1 (215-litre) refrigerator (Source: Top 10 China, 2010)</w:t>
            </w:r>
          </w:p>
        </w:tc>
      </w:tr>
      <w:tr w:rsidR="00E85DF9" w:rsidRPr="0040635F" w:rsidTr="00B37891">
        <w:trPr>
          <w:trHeight w:val="557"/>
        </w:trPr>
        <w:tc>
          <w:tcPr>
            <w:tcW w:w="1525" w:type="dxa"/>
            <w:hideMark/>
          </w:tcPr>
          <w:p w:rsidR="00E85DF9" w:rsidRPr="004803A5" w:rsidRDefault="00E85DF9" w:rsidP="00E235C8">
            <w:pPr>
              <w:jc w:val="both"/>
              <w:rPr>
                <w:rFonts w:ascii="Calibri" w:eastAsia="Times New Roman" w:hAnsi="Calibri" w:cs="Times New Roman"/>
              </w:rPr>
            </w:pPr>
            <w:r>
              <w:rPr>
                <w:rFonts w:ascii="Calibri" w:eastAsia="Times New Roman" w:hAnsi="Calibri" w:cs="Times New Roman"/>
                <w:b/>
                <w:bCs/>
                <w:lang w:val="en-GB"/>
              </w:rPr>
              <w:t>Television</w:t>
            </w:r>
          </w:p>
        </w:tc>
        <w:tc>
          <w:tcPr>
            <w:tcW w:w="1432" w:type="dxa"/>
          </w:tcPr>
          <w:p w:rsidR="00E85DF9" w:rsidRPr="00361786" w:rsidRDefault="00E85DF9" w:rsidP="00E235C8">
            <w:pPr>
              <w:jc w:val="both"/>
              <w:rPr>
                <w:rFonts w:ascii="Calibri" w:eastAsia="Times New Roman" w:hAnsi="Calibri" w:cs="Arial"/>
                <w:szCs w:val="36"/>
              </w:rPr>
            </w:pPr>
            <w:r w:rsidRPr="00361786">
              <w:rPr>
                <w:rFonts w:ascii="Calibri" w:eastAsia="Times New Roman" w:hAnsi="Calibri" w:cs="Times New Roman"/>
                <w:kern w:val="24"/>
                <w:lang w:val="en-GB"/>
              </w:rPr>
              <w:t>14.9</w:t>
            </w:r>
          </w:p>
        </w:tc>
        <w:tc>
          <w:tcPr>
            <w:tcW w:w="1546" w:type="dxa"/>
            <w:hideMark/>
          </w:tcPr>
          <w:p w:rsidR="00E85DF9" w:rsidRPr="004803A5" w:rsidRDefault="00E85DF9" w:rsidP="00E235C8">
            <w:pPr>
              <w:jc w:val="both"/>
              <w:rPr>
                <w:rFonts w:ascii="Calibri" w:eastAsia="Times New Roman" w:hAnsi="Calibri" w:cs="Times New Roman"/>
              </w:rPr>
            </w:pPr>
            <w:r w:rsidRPr="00361786">
              <w:rPr>
                <w:rFonts w:ascii="Calibri" w:eastAsia="Times New Roman" w:hAnsi="Calibri" w:cs="Times New Roman"/>
              </w:rPr>
              <w:t>41 %</w:t>
            </w:r>
          </w:p>
        </w:tc>
        <w:tc>
          <w:tcPr>
            <w:tcW w:w="3969" w:type="dxa"/>
            <w:hideMark/>
          </w:tcPr>
          <w:p w:rsidR="00E85DF9" w:rsidRPr="004E3C45" w:rsidRDefault="00E85DF9" w:rsidP="00E235C8">
            <w:pPr>
              <w:jc w:val="both"/>
              <w:rPr>
                <w:rFonts w:ascii="Calibri" w:eastAsia="Times New Roman" w:hAnsi="Calibri" w:cs="Times New Roman"/>
                <w:sz w:val="20"/>
              </w:rPr>
            </w:pPr>
            <w:r w:rsidRPr="004E3C45">
              <w:rPr>
                <w:rFonts w:ascii="Calibri" w:eastAsia="Times New Roman" w:hAnsi="Calibri" w:cs="Times New Roman"/>
                <w:sz w:val="20"/>
              </w:rPr>
              <w:t>A 32” LCD TV with LED back-lighting</w:t>
            </w:r>
            <w:r>
              <w:rPr>
                <w:rFonts w:ascii="Calibri" w:eastAsia="Times New Roman" w:hAnsi="Calibri" w:cs="Times New Roman"/>
                <w:sz w:val="20"/>
              </w:rPr>
              <w:t>,</w:t>
            </w:r>
            <w:r w:rsidRPr="004E3C45">
              <w:rPr>
                <w:rFonts w:ascii="Calibri" w:eastAsia="Times New Roman" w:hAnsi="Calibri" w:cs="Times New Roman"/>
                <w:sz w:val="20"/>
              </w:rPr>
              <w:t xml:space="preserve"> auto brightness control (Source: Top 10 US, 2010)</w:t>
            </w:r>
          </w:p>
        </w:tc>
      </w:tr>
    </w:tbl>
    <w:p w:rsidR="00712ABE" w:rsidRDefault="00344443" w:rsidP="00E235C8">
      <w:pPr>
        <w:pStyle w:val="NoSpacing"/>
        <w:jc w:val="both"/>
        <w:rPr>
          <w:rFonts w:eastAsia="Times New Roman"/>
        </w:rPr>
      </w:pPr>
      <w:r w:rsidRPr="00344443">
        <w:rPr>
          <w:rFonts w:eastAsia="Times New Roman"/>
        </w:rPr>
        <w:t xml:space="preserve">*- </w:t>
      </w:r>
      <w:r>
        <w:rPr>
          <w:rFonts w:eastAsia="Times New Roman"/>
        </w:rPr>
        <w:t>A conservative constant sales growth rate in the period 2010-2020</w:t>
      </w:r>
    </w:p>
    <w:p w:rsidR="00712ABE" w:rsidRDefault="00B16975" w:rsidP="00E235C8">
      <w:pPr>
        <w:pStyle w:val="NoSpacing"/>
        <w:jc w:val="both"/>
        <w:rPr>
          <w:rFonts w:eastAsia="Times New Roman"/>
        </w:rPr>
      </w:pPr>
      <w:r>
        <w:rPr>
          <w:rFonts w:eastAsia="Times New Roman"/>
        </w:rPr>
        <w:t>#</w:t>
      </w:r>
      <w:r w:rsidR="00946135">
        <w:rPr>
          <w:rFonts w:eastAsia="Times New Roman"/>
        </w:rPr>
        <w:t xml:space="preserve">- </w:t>
      </w:r>
      <w:r w:rsidR="001D7FC8">
        <w:rPr>
          <w:rFonts w:eastAsia="Times New Roman"/>
        </w:rPr>
        <w:t xml:space="preserve">Models more efficient than </w:t>
      </w:r>
      <w:r w:rsidR="00304AC7">
        <w:rPr>
          <w:rFonts w:eastAsia="Times New Roman"/>
        </w:rPr>
        <w:t xml:space="preserve">the </w:t>
      </w:r>
      <w:r w:rsidR="001D7FC8">
        <w:rPr>
          <w:rFonts w:eastAsia="Times New Roman"/>
        </w:rPr>
        <w:t>reference SEA are available, but have not been considered here.</w:t>
      </w:r>
    </w:p>
    <w:p w:rsidR="00712ABE" w:rsidRDefault="00712ABE" w:rsidP="00E235C8">
      <w:pPr>
        <w:pStyle w:val="NoSpacing"/>
        <w:jc w:val="both"/>
      </w:pPr>
    </w:p>
    <w:p w:rsidR="00034874" w:rsidRDefault="00EA46D1" w:rsidP="00E235C8">
      <w:pPr>
        <w:jc w:val="both"/>
      </w:pPr>
      <w:r>
        <w:rPr>
          <w:b/>
        </w:rPr>
        <w:t>Structure of SEEP</w:t>
      </w:r>
    </w:p>
    <w:p w:rsidR="006816ED" w:rsidRDefault="004B0304" w:rsidP="00E235C8">
      <w:pPr>
        <w:jc w:val="both"/>
      </w:pPr>
      <w:r>
        <w:t xml:space="preserve">SEEP </w:t>
      </w:r>
      <w:r w:rsidR="00304AC7">
        <w:t xml:space="preserve">is designed </w:t>
      </w:r>
      <w:r>
        <w:t xml:space="preserve">to </w:t>
      </w:r>
      <w:r w:rsidR="00990CF0">
        <w:t xml:space="preserve">overcome the shortcomings of the </w:t>
      </w:r>
      <w:r>
        <w:t>present incentive structure</w:t>
      </w:r>
      <w:r w:rsidR="00304AC7">
        <w:t>,</w:t>
      </w:r>
      <w:r>
        <w:t xml:space="preserve"> and create incentives for manufacturers as well as consumers to produce and purchase SEAs. </w:t>
      </w:r>
      <w:r w:rsidR="00304AC7">
        <w:t>This programme</w:t>
      </w:r>
      <w:r w:rsidR="00F63445">
        <w:t xml:space="preserve"> proposes to deal </w:t>
      </w:r>
      <w:r w:rsidR="00304AC7">
        <w:t xml:space="preserve">directly </w:t>
      </w:r>
      <w:r w:rsidR="00F63445">
        <w:t xml:space="preserve">with the manufacturers </w:t>
      </w:r>
      <w:r>
        <w:t>of</w:t>
      </w:r>
      <w:r w:rsidR="00170D44">
        <w:t xml:space="preserve"> </w:t>
      </w:r>
      <w:r w:rsidR="006816ED">
        <w:t xml:space="preserve">select </w:t>
      </w:r>
      <w:r w:rsidR="00F63445">
        <w:t>key appliances. Usually</w:t>
      </w:r>
      <w:r w:rsidR="00F87FB3">
        <w:t>,</w:t>
      </w:r>
      <w:r w:rsidR="00170D44">
        <w:t xml:space="preserve"> </w:t>
      </w:r>
      <w:r w:rsidR="00144367">
        <w:t xml:space="preserve">only a handful of </w:t>
      </w:r>
      <w:r w:rsidR="00F63445">
        <w:t xml:space="preserve">manufacturers account for </w:t>
      </w:r>
      <w:r w:rsidR="00144367">
        <w:t>7</w:t>
      </w:r>
      <w:r w:rsidR="00F63445">
        <w:t xml:space="preserve">0 to 90% of the market share of these appliances. SEEP would compensate the manufacturers </w:t>
      </w:r>
      <w:r w:rsidR="00304AC7">
        <w:t xml:space="preserve">for </w:t>
      </w:r>
      <w:r w:rsidR="00990CF0">
        <w:t xml:space="preserve">a major part of </w:t>
      </w:r>
      <w:r w:rsidR="00304AC7">
        <w:t xml:space="preserve">the </w:t>
      </w:r>
      <w:r w:rsidR="00F63445">
        <w:t>incremental cost of producing SEAs</w:t>
      </w:r>
      <w:r w:rsidR="00304AC7">
        <w:t>,</w:t>
      </w:r>
      <w:r w:rsidR="00F63445">
        <w:t xml:space="preserve"> and </w:t>
      </w:r>
      <w:r w:rsidR="00E76A5C">
        <w:t xml:space="preserve">encourage </w:t>
      </w:r>
      <w:r w:rsidR="00F63445">
        <w:t xml:space="preserve">them to </w:t>
      </w:r>
      <w:r w:rsidR="00170D44">
        <w:t xml:space="preserve">not just produce but also </w:t>
      </w:r>
      <w:r w:rsidR="00F63445">
        <w:t xml:space="preserve">sell </w:t>
      </w:r>
      <w:r w:rsidR="00E76A5C">
        <w:t>SEAs</w:t>
      </w:r>
      <w:r w:rsidR="00F63445">
        <w:t xml:space="preserve"> at an affordable price to common consumers. </w:t>
      </w:r>
      <w:r w:rsidR="000A4680">
        <w:t>In this manner</w:t>
      </w:r>
      <w:r w:rsidR="006816ED">
        <w:t xml:space="preserve">, the </w:t>
      </w:r>
      <w:r w:rsidR="00304AC7">
        <w:t>programme</w:t>
      </w:r>
      <w:r w:rsidR="00170D44">
        <w:t xml:space="preserve"> </w:t>
      </w:r>
      <w:r w:rsidR="006816ED">
        <w:t xml:space="preserve">would </w:t>
      </w:r>
      <w:r w:rsidR="00684FB5">
        <w:t xml:space="preserve">help </w:t>
      </w:r>
      <w:r w:rsidR="00304AC7">
        <w:t xml:space="preserve">to </w:t>
      </w:r>
      <w:r w:rsidR="00684FB5">
        <w:t xml:space="preserve">introduce appliances that are far more efficient than the ones </w:t>
      </w:r>
      <w:r w:rsidR="00990CF0">
        <w:t xml:space="preserve">currently </w:t>
      </w:r>
      <w:r w:rsidR="00684FB5">
        <w:t>available in India</w:t>
      </w:r>
      <w:r w:rsidR="00170D44">
        <w:t xml:space="preserve"> </w:t>
      </w:r>
      <w:r w:rsidR="00990CF0">
        <w:t>thus</w:t>
      </w:r>
      <w:r w:rsidR="00450BFD">
        <w:t xml:space="preserve">, </w:t>
      </w:r>
      <w:r w:rsidR="006816ED" w:rsidRPr="006816ED">
        <w:t>narrow</w:t>
      </w:r>
      <w:r w:rsidR="00990CF0">
        <w:t>ing</w:t>
      </w:r>
      <w:r w:rsidR="00170D44">
        <w:t xml:space="preserve"> </w:t>
      </w:r>
      <w:r w:rsidR="00684FB5">
        <w:t xml:space="preserve">the massive gap between the </w:t>
      </w:r>
      <w:r w:rsidR="006816ED">
        <w:t xml:space="preserve">efficiency of the </w:t>
      </w:r>
      <w:r w:rsidR="00684FB5">
        <w:t xml:space="preserve">average </w:t>
      </w:r>
      <w:r w:rsidR="006816ED" w:rsidRPr="006816ED">
        <w:t xml:space="preserve">purchase and </w:t>
      </w:r>
      <w:r w:rsidR="000A4680">
        <w:t xml:space="preserve">that of the </w:t>
      </w:r>
      <w:r w:rsidR="00684FB5">
        <w:t xml:space="preserve">most efficient </w:t>
      </w:r>
      <w:r w:rsidR="006816ED" w:rsidRPr="006816ED">
        <w:t>tech</w:t>
      </w:r>
      <w:r w:rsidR="00304AC7">
        <w:t>nology</w:t>
      </w:r>
      <w:r w:rsidR="00170D44">
        <w:t xml:space="preserve"> </w:t>
      </w:r>
      <w:r w:rsidR="00684FB5">
        <w:t>available internationally</w:t>
      </w:r>
      <w:r w:rsidR="006816ED" w:rsidRPr="006816ED">
        <w:t>.</w:t>
      </w:r>
    </w:p>
    <w:p w:rsidR="00E76A5C" w:rsidRDefault="00E76A5C" w:rsidP="00E235C8">
      <w:pPr>
        <w:jc w:val="both"/>
      </w:pPr>
      <w:r>
        <w:t xml:space="preserve">The BEE would pay the agreed </w:t>
      </w:r>
      <w:r w:rsidR="008879C7">
        <w:t xml:space="preserve">incentive </w:t>
      </w:r>
      <w:r>
        <w:t>to manufacturers after the appliances are produced and sold</w:t>
      </w:r>
      <w:r w:rsidR="006816ED">
        <w:t xml:space="preserve">. </w:t>
      </w:r>
      <w:r w:rsidR="000A4680">
        <w:t xml:space="preserve">The </w:t>
      </w:r>
      <w:r w:rsidR="006816ED">
        <w:t xml:space="preserve">BEE would </w:t>
      </w:r>
      <w:r w:rsidR="000A4680">
        <w:t>also widely</w:t>
      </w:r>
      <w:r w:rsidR="00170D44">
        <w:t xml:space="preserve"> </w:t>
      </w:r>
      <w:r w:rsidR="004215EF">
        <w:t>publicize</w:t>
      </w:r>
      <w:r w:rsidR="006816ED">
        <w:t xml:space="preserve"> the special SEA label and the participating manufacturers along with the SEA models</w:t>
      </w:r>
      <w:r>
        <w:t xml:space="preserve">. The Monitoring and Verification </w:t>
      </w:r>
      <w:r w:rsidR="004B0304">
        <w:t xml:space="preserve">(M&amp;V) </w:t>
      </w:r>
      <w:r>
        <w:t xml:space="preserve">system is designed to ensure that quality is maintained on </w:t>
      </w:r>
      <w:r w:rsidR="000A4680">
        <w:t xml:space="preserve">the </w:t>
      </w:r>
      <w:r>
        <w:t xml:space="preserve">ground. SEEP proposes to </w:t>
      </w:r>
      <w:r w:rsidR="000A4680">
        <w:t>implement these measures</w:t>
      </w:r>
      <w:r>
        <w:t xml:space="preserve"> for mass-market appliances </w:t>
      </w:r>
      <w:r w:rsidR="004B0304">
        <w:t xml:space="preserve">such as </w:t>
      </w:r>
      <w:r>
        <w:t xml:space="preserve">fans, refrigerators and </w:t>
      </w:r>
      <w:r w:rsidR="000A4680">
        <w:t>televisions,</w:t>
      </w:r>
      <w:r>
        <w:t xml:space="preserve"> which </w:t>
      </w:r>
      <w:r w:rsidR="000A4680">
        <w:t>consume the maximum energy</w:t>
      </w:r>
      <w:r>
        <w:t xml:space="preserve"> and are bought by a lar</w:t>
      </w:r>
      <w:r w:rsidR="00684FB5">
        <w:t>ge number of Indian households.</w:t>
      </w:r>
    </w:p>
    <w:p w:rsidR="00C73EC7" w:rsidRDefault="00C73EC7" w:rsidP="00E235C8">
      <w:pPr>
        <w:jc w:val="both"/>
      </w:pPr>
      <w:r>
        <w:t>The nature of the program</w:t>
      </w:r>
      <w:r w:rsidR="0078007A">
        <w:t>me</w:t>
      </w:r>
      <w:r>
        <w:t xml:space="preserve"> being very different </w:t>
      </w:r>
      <w:r w:rsidR="003A6278">
        <w:t xml:space="preserve">from </w:t>
      </w:r>
      <w:r w:rsidR="0078007A">
        <w:t xml:space="preserve">current </w:t>
      </w:r>
      <w:r>
        <w:t>program</w:t>
      </w:r>
      <w:r w:rsidR="0078007A">
        <w:t>me</w:t>
      </w:r>
      <w:r>
        <w:t xml:space="preserve">s, several questions may arise. </w:t>
      </w:r>
      <w:r w:rsidR="00F76F1E">
        <w:t xml:space="preserve"> Questions which may be frequently asked are addressed below.</w:t>
      </w:r>
    </w:p>
    <w:p w:rsidR="00AB0979" w:rsidRDefault="00830C91" w:rsidP="00E235C8">
      <w:pPr>
        <w:jc w:val="both"/>
      </w:pPr>
      <w:r w:rsidRPr="00A06725">
        <w:rPr>
          <w:b/>
          <w:i/>
        </w:rPr>
        <w:t>Why don’t consumers buy efficient appliances?</w:t>
      </w:r>
      <w:r w:rsidR="0057293C">
        <w:rPr>
          <w:b/>
          <w:i/>
        </w:rPr>
        <w:t xml:space="preserve"> </w:t>
      </w:r>
      <w:r w:rsidR="00F76F1E">
        <w:t>Consumers</w:t>
      </w:r>
      <w:r>
        <w:t xml:space="preserve"> are usually </w:t>
      </w:r>
      <w:r w:rsidR="00A06725">
        <w:t xml:space="preserve">highly sensitive to </w:t>
      </w:r>
      <w:r w:rsidR="002F7843">
        <w:t xml:space="preserve">the </w:t>
      </w:r>
      <w:r w:rsidR="00A06725">
        <w:t>first-cost</w:t>
      </w:r>
      <w:r w:rsidR="00F76F1E">
        <w:t>,</w:t>
      </w:r>
      <w:r w:rsidR="00A06725">
        <w:t xml:space="preserve"> and moreover</w:t>
      </w:r>
      <w:r w:rsidR="00F76F1E">
        <w:t>,</w:t>
      </w:r>
      <w:r w:rsidR="00A06725">
        <w:t xml:space="preserve"> do not pay the full cost of electricity (especially given that the cost of new generation is much higher than the average tariff)</w:t>
      </w:r>
      <w:r w:rsidR="0057293C" w:rsidRPr="0057293C">
        <w:rPr>
          <w:rStyle w:val="FootnoteReference"/>
        </w:rPr>
        <w:t xml:space="preserve"> </w:t>
      </w:r>
      <w:r w:rsidR="0057293C">
        <w:rPr>
          <w:rStyle w:val="FootnoteReference"/>
        </w:rPr>
        <w:footnoteReference w:id="3"/>
      </w:r>
      <w:r w:rsidR="00A06725">
        <w:t>. Consumers have too many other considerations at the</w:t>
      </w:r>
      <w:r w:rsidR="00144367">
        <w:t xml:space="preserve"> time of </w:t>
      </w:r>
      <w:r w:rsidR="00F76F1E">
        <w:t xml:space="preserve">the </w:t>
      </w:r>
      <w:r w:rsidR="00144367">
        <w:t xml:space="preserve">purchase, such as </w:t>
      </w:r>
      <w:r w:rsidR="00F76F1E">
        <w:t xml:space="preserve">the appearance </w:t>
      </w:r>
      <w:r w:rsidR="00A06725">
        <w:t xml:space="preserve">of a </w:t>
      </w:r>
      <w:r w:rsidR="00F76F1E">
        <w:t xml:space="preserve">new </w:t>
      </w:r>
      <w:r w:rsidR="00A06725">
        <w:t>fan</w:t>
      </w:r>
      <w:r w:rsidR="00144367">
        <w:t xml:space="preserve"> or refrigerator</w:t>
      </w:r>
      <w:r w:rsidR="00F76F1E">
        <w:t>.</w:t>
      </w:r>
      <w:r w:rsidR="00A73AA2">
        <w:t xml:space="preserve"> </w:t>
      </w:r>
      <w:r w:rsidR="00F76F1E">
        <w:t>E</w:t>
      </w:r>
      <w:r w:rsidR="00A06725">
        <w:t xml:space="preserve">nergy efficiency is at </w:t>
      </w:r>
      <w:r w:rsidR="00F76F1E">
        <w:t xml:space="preserve">best </w:t>
      </w:r>
      <w:r w:rsidR="00A06725">
        <w:t xml:space="preserve">one of </w:t>
      </w:r>
      <w:r w:rsidR="00F76F1E">
        <w:t xml:space="preserve">such </w:t>
      </w:r>
      <w:r w:rsidR="00A06725">
        <w:t>considerations.</w:t>
      </w:r>
    </w:p>
    <w:p w:rsidR="00AB0979" w:rsidRDefault="00AB0979" w:rsidP="00E235C8">
      <w:pPr>
        <w:jc w:val="both"/>
      </w:pPr>
      <w:r>
        <w:t xml:space="preserve">In fact, when </w:t>
      </w:r>
      <w:r w:rsidR="00031747">
        <w:t xml:space="preserve">a consumer </w:t>
      </w:r>
      <w:r>
        <w:t xml:space="preserve">buys an inefficient product, </w:t>
      </w:r>
      <w:r w:rsidR="00031747">
        <w:t>he</w:t>
      </w:r>
      <w:r>
        <w:t xml:space="preserve"> is actually imposing a</w:t>
      </w:r>
      <w:r w:rsidR="00B84329">
        <w:t>n additional</w:t>
      </w:r>
      <w:r>
        <w:t xml:space="preserve"> cost o</w:t>
      </w:r>
      <w:r w:rsidR="00031747">
        <w:t>n</w:t>
      </w:r>
      <w:r w:rsidR="0057293C">
        <w:t xml:space="preserve"> </w:t>
      </w:r>
      <w:r w:rsidR="00B84329">
        <w:t xml:space="preserve">his </w:t>
      </w:r>
      <w:r>
        <w:t xml:space="preserve">fellow </w:t>
      </w:r>
      <w:r w:rsidR="00031747">
        <w:t xml:space="preserve">consumers. All consumers collectively have to then invest in </w:t>
      </w:r>
      <w:r w:rsidR="00B84329">
        <w:t xml:space="preserve">the </w:t>
      </w:r>
      <w:r w:rsidR="00031747">
        <w:t>expansion of infrastructure for power generation, transmission and distribution</w:t>
      </w:r>
      <w:r w:rsidR="00B84329">
        <w:t>, which is avoidable</w:t>
      </w:r>
      <w:r w:rsidR="00031747">
        <w:t xml:space="preserve">. This </w:t>
      </w:r>
      <w:r w:rsidR="00B84329">
        <w:t xml:space="preserve">happens </w:t>
      </w:r>
      <w:r w:rsidR="00031747">
        <w:t>because we do not charge the ‘marginal cost’ of supply to consumers</w:t>
      </w:r>
      <w:r w:rsidR="008F1011">
        <w:t>.</w:t>
      </w:r>
    </w:p>
    <w:p w:rsidR="00A06725" w:rsidRDefault="00031747" w:rsidP="00E235C8">
      <w:pPr>
        <w:jc w:val="both"/>
      </w:pPr>
      <w:r>
        <w:rPr>
          <w:b/>
          <w:i/>
        </w:rPr>
        <w:lastRenderedPageBreak/>
        <w:t>W</w:t>
      </w:r>
      <w:r w:rsidR="00A06725" w:rsidRPr="00A06725">
        <w:rPr>
          <w:b/>
          <w:i/>
        </w:rPr>
        <w:t xml:space="preserve">hy </w:t>
      </w:r>
      <w:r w:rsidR="00B84329">
        <w:rPr>
          <w:b/>
          <w:i/>
        </w:rPr>
        <w:t xml:space="preserve">should we </w:t>
      </w:r>
      <w:r w:rsidR="00A06725" w:rsidRPr="00A06725">
        <w:rPr>
          <w:b/>
          <w:i/>
        </w:rPr>
        <w:t>not force manufacturers to produce only Super</w:t>
      </w:r>
      <w:r w:rsidR="00B84329">
        <w:rPr>
          <w:b/>
          <w:i/>
        </w:rPr>
        <w:t>-</w:t>
      </w:r>
      <w:r w:rsidR="00A06725" w:rsidRPr="00A06725">
        <w:rPr>
          <w:b/>
          <w:i/>
        </w:rPr>
        <w:t>Efficient Appliances?</w:t>
      </w:r>
      <w:r w:rsidR="0057293C">
        <w:rPr>
          <w:b/>
          <w:i/>
        </w:rPr>
        <w:t xml:space="preserve"> </w:t>
      </w:r>
      <w:r w:rsidR="00A06725">
        <w:t>Banning normal appliances is too harsh a measure and would be unjustified for manufacturers</w:t>
      </w:r>
      <w:r w:rsidR="0057293C">
        <w:t xml:space="preserve"> </w:t>
      </w:r>
      <w:r w:rsidR="00B84329">
        <w:t xml:space="preserve">who </w:t>
      </w:r>
      <w:r w:rsidR="00144367">
        <w:t xml:space="preserve">do not have </w:t>
      </w:r>
      <w:r w:rsidR="00B84329">
        <w:t xml:space="preserve">access to </w:t>
      </w:r>
      <w:r w:rsidR="00144367">
        <w:t xml:space="preserve">the </w:t>
      </w:r>
      <w:r w:rsidR="00B84329">
        <w:t xml:space="preserve">requisite </w:t>
      </w:r>
      <w:r w:rsidR="00144367">
        <w:t>technology</w:t>
      </w:r>
      <w:r w:rsidR="00A06725">
        <w:t xml:space="preserve">. Moreover, any ban demands </w:t>
      </w:r>
      <w:r w:rsidR="00B84329">
        <w:t xml:space="preserve">strict </w:t>
      </w:r>
      <w:r w:rsidR="00A06725">
        <w:t>vigilance</w:t>
      </w:r>
      <w:r w:rsidR="00B84329">
        <w:t>,</w:t>
      </w:r>
      <w:r w:rsidR="00A06725">
        <w:t xml:space="preserve"> and </w:t>
      </w:r>
      <w:r w:rsidR="00B84329">
        <w:t>often leads to</w:t>
      </w:r>
      <w:r w:rsidR="0057293C">
        <w:t xml:space="preserve"> </w:t>
      </w:r>
      <w:r w:rsidR="00F87FB3">
        <w:t xml:space="preserve">inefficient goods being sold in </w:t>
      </w:r>
      <w:r w:rsidR="00B84329">
        <w:t xml:space="preserve">the </w:t>
      </w:r>
      <w:r w:rsidR="00A06725">
        <w:t>black</w:t>
      </w:r>
      <w:r w:rsidR="00366BE7">
        <w:t>-</w:t>
      </w:r>
      <w:r w:rsidR="00A06725">
        <w:t>market.</w:t>
      </w:r>
    </w:p>
    <w:p w:rsidR="00EF31E0" w:rsidRDefault="00AB0979" w:rsidP="00E235C8">
      <w:pPr>
        <w:jc w:val="both"/>
      </w:pPr>
      <w:r w:rsidRPr="00AB0979">
        <w:rPr>
          <w:b/>
          <w:i/>
        </w:rPr>
        <w:t xml:space="preserve">Why can’t </w:t>
      </w:r>
      <w:r w:rsidR="00B84329">
        <w:rPr>
          <w:b/>
          <w:i/>
        </w:rPr>
        <w:t xml:space="preserve">the </w:t>
      </w:r>
      <w:r w:rsidRPr="00AB0979">
        <w:rPr>
          <w:b/>
          <w:i/>
        </w:rPr>
        <w:t xml:space="preserve">Standards and </w:t>
      </w:r>
      <w:r w:rsidR="00B84329">
        <w:rPr>
          <w:b/>
          <w:i/>
        </w:rPr>
        <w:t>L</w:t>
      </w:r>
      <w:r w:rsidRPr="00AB0979">
        <w:rPr>
          <w:b/>
          <w:i/>
        </w:rPr>
        <w:t xml:space="preserve">abeling </w:t>
      </w:r>
      <w:r w:rsidR="00B84329">
        <w:rPr>
          <w:b/>
          <w:i/>
        </w:rPr>
        <w:t>P</w:t>
      </w:r>
      <w:r w:rsidRPr="00AB0979">
        <w:rPr>
          <w:b/>
          <w:i/>
        </w:rPr>
        <w:t>rogram</w:t>
      </w:r>
      <w:r w:rsidR="00B84329">
        <w:rPr>
          <w:b/>
          <w:i/>
        </w:rPr>
        <w:t>me</w:t>
      </w:r>
      <w:r w:rsidRPr="00AB0979">
        <w:rPr>
          <w:b/>
          <w:i/>
        </w:rPr>
        <w:t xml:space="preserve"> do </w:t>
      </w:r>
      <w:r>
        <w:rPr>
          <w:b/>
          <w:i/>
        </w:rPr>
        <w:t>the job</w:t>
      </w:r>
      <w:r w:rsidRPr="00AB0979">
        <w:rPr>
          <w:b/>
          <w:i/>
        </w:rPr>
        <w:t>?</w:t>
      </w:r>
      <w:r w:rsidR="0057293C">
        <w:rPr>
          <w:b/>
          <w:i/>
        </w:rPr>
        <w:t xml:space="preserve"> </w:t>
      </w:r>
      <w:r w:rsidR="00B84329">
        <w:t xml:space="preserve">The </w:t>
      </w:r>
      <w:r w:rsidR="00EF31E0">
        <w:t xml:space="preserve">S&amp;L and SEEP </w:t>
      </w:r>
      <w:r w:rsidR="00B84329">
        <w:t>programmes</w:t>
      </w:r>
      <w:r w:rsidR="0057293C">
        <w:t xml:space="preserve"> </w:t>
      </w:r>
      <w:r w:rsidR="00EF31E0">
        <w:t xml:space="preserve">are intended to perform </w:t>
      </w:r>
      <w:r w:rsidR="00FA7E8E">
        <w:t xml:space="preserve">complementary </w:t>
      </w:r>
      <w:r w:rsidR="00EF31E0">
        <w:t>functions. The lowest star level in mandatory S&amp;L program</w:t>
      </w:r>
      <w:r w:rsidR="000E0C66">
        <w:t>me</w:t>
      </w:r>
      <w:r w:rsidR="002E36E7">
        <w:t xml:space="preserve"> </w:t>
      </w:r>
      <w:r w:rsidR="00EF31E0">
        <w:t xml:space="preserve">provides a minimum efficiency performance standard (MEPS).  Higher star levels </w:t>
      </w:r>
      <w:r w:rsidR="000E0C66">
        <w:t xml:space="preserve">provide </w:t>
      </w:r>
      <w:r w:rsidR="00EF31E0">
        <w:t>information to customers about the expected savings from purchasing more efficient models</w:t>
      </w:r>
      <w:r w:rsidR="000E0C66">
        <w:t xml:space="preserve">. </w:t>
      </w:r>
      <w:r w:rsidR="00EF31E0">
        <w:t>Thus</w:t>
      </w:r>
      <w:r w:rsidR="000E0C66">
        <w:t>,</w:t>
      </w:r>
      <w:r w:rsidR="00EF31E0">
        <w:t xml:space="preserve"> S&amp;L </w:t>
      </w:r>
      <w:r w:rsidR="00EF31E0" w:rsidRPr="00B37891">
        <w:t>program</w:t>
      </w:r>
      <w:r w:rsidR="000E0C66" w:rsidRPr="00B37891">
        <w:t>me</w:t>
      </w:r>
      <w:r w:rsidR="00EF31E0">
        <w:t xml:space="preserve"> provide a floor for the performance of appliances</w:t>
      </w:r>
      <w:r w:rsidR="000E0C66">
        <w:t>,</w:t>
      </w:r>
      <w:r w:rsidR="00EF31E0">
        <w:t xml:space="preserve"> and a source of information.  In contrast, SEEP is intended to raise the ceiling on the performance</w:t>
      </w:r>
      <w:r w:rsidR="002E36E7">
        <w:t xml:space="preserve"> </w:t>
      </w:r>
      <w:r w:rsidR="00EF31E0">
        <w:t xml:space="preserve">level of appliances. Incentives to manufacturers are intended to make super-efficient products affordable.  </w:t>
      </w:r>
    </w:p>
    <w:p w:rsidR="00AB0979" w:rsidRDefault="00FA7E8E" w:rsidP="00E235C8">
      <w:pPr>
        <w:jc w:val="both"/>
      </w:pPr>
      <w:r>
        <w:t>Further, s</w:t>
      </w:r>
      <w:r w:rsidR="00EF31E0">
        <w:t xml:space="preserve">uccessful S&amp;L </w:t>
      </w:r>
      <w:r w:rsidR="00EF31E0" w:rsidRPr="00B37891">
        <w:t>program</w:t>
      </w:r>
      <w:r w:rsidR="000E0C66" w:rsidRPr="00B37891">
        <w:t>me</w:t>
      </w:r>
      <w:r w:rsidR="00EF31E0" w:rsidRPr="00B37891">
        <w:t>s</w:t>
      </w:r>
      <w:r w:rsidR="00EF31E0">
        <w:t xml:space="preserve"> require that most manufacturers </w:t>
      </w:r>
      <w:r w:rsidR="000E0C66">
        <w:t>agree</w:t>
      </w:r>
      <w:r w:rsidR="002E36E7">
        <w:t xml:space="preserve"> </w:t>
      </w:r>
      <w:r w:rsidR="000E0C66">
        <w:t xml:space="preserve">to </w:t>
      </w:r>
      <w:r w:rsidR="00EF31E0">
        <w:t>the prescribed performance levels</w:t>
      </w:r>
      <w:r w:rsidR="000E0C66">
        <w:t>,</w:t>
      </w:r>
      <w:r w:rsidR="00EF31E0">
        <w:t xml:space="preserve"> or at least, </w:t>
      </w:r>
      <w:r w:rsidR="000E0C66">
        <w:t xml:space="preserve">do </w:t>
      </w:r>
      <w:r w:rsidR="00EF31E0">
        <w:t>not oppose them. Otherwise, disgruntled manufacturers will sell their products in parallel markets where branding is not important</w:t>
      </w:r>
      <w:r w:rsidR="000E0C66">
        <w:t>,</w:t>
      </w:r>
      <w:r w:rsidR="00EF31E0">
        <w:t xml:space="preserve"> but price is.  Because </w:t>
      </w:r>
      <w:r w:rsidR="000E0C66">
        <w:t>the support of</w:t>
      </w:r>
      <w:r w:rsidR="00EF31E0">
        <w:t xml:space="preserve"> most manufacturers </w:t>
      </w:r>
      <w:r w:rsidR="00F446DB">
        <w:t>(if not a consensus)</w:t>
      </w:r>
      <w:r w:rsidR="002E36E7">
        <w:t xml:space="preserve"> </w:t>
      </w:r>
      <w:r w:rsidR="002F7843">
        <w:t>is required</w:t>
      </w:r>
      <w:r w:rsidR="00EF31E0">
        <w:t xml:space="preserve">, S&amp;L </w:t>
      </w:r>
      <w:r w:rsidR="00EF31E0" w:rsidRPr="00B37891">
        <w:t>program</w:t>
      </w:r>
      <w:r w:rsidR="000E0C66" w:rsidRPr="00B37891">
        <w:t>me</w:t>
      </w:r>
      <w:r w:rsidR="00EF31E0">
        <w:t xml:space="preserve"> improve </w:t>
      </w:r>
      <w:r>
        <w:t>efficiency</w:t>
      </w:r>
      <w:r w:rsidR="00EF31E0">
        <w:t xml:space="preserve"> of appliances </w:t>
      </w:r>
      <w:r w:rsidR="000E0C66">
        <w:t xml:space="preserve">only </w:t>
      </w:r>
      <w:r w:rsidR="00EF31E0">
        <w:t xml:space="preserve">gradually.  In contrast, SEEP can be used to leapfrog to the best (or </w:t>
      </w:r>
      <w:r w:rsidR="00CB2B4A">
        <w:t xml:space="preserve">close to </w:t>
      </w:r>
      <w:r w:rsidR="002F7843">
        <w:t xml:space="preserve">the </w:t>
      </w:r>
      <w:r w:rsidR="00EF31E0">
        <w:t xml:space="preserve">best) technology available worldwide. Over time, </w:t>
      </w:r>
      <w:r w:rsidR="00CB2B4A">
        <w:t xml:space="preserve">programmes like </w:t>
      </w:r>
      <w:r w:rsidR="00EF31E0">
        <w:t>SEEP can be used to ratchet</w:t>
      </w:r>
      <w:r w:rsidR="002E36E7">
        <w:t xml:space="preserve"> </w:t>
      </w:r>
      <w:r w:rsidR="00EF31E0">
        <w:t>up S&amp;L performance thresholds. Thus</w:t>
      </w:r>
      <w:r w:rsidR="00CB2B4A">
        <w:t>,</w:t>
      </w:r>
      <w:r w:rsidR="00EF31E0">
        <w:t xml:space="preserve"> where rapid improvement in </w:t>
      </w:r>
      <w:r>
        <w:t>efficiency</w:t>
      </w:r>
      <w:r w:rsidR="00EF31E0">
        <w:t xml:space="preserve"> is required, S&amp;L </w:t>
      </w:r>
      <w:r w:rsidR="00EF31E0" w:rsidRPr="00B37891">
        <w:t>program</w:t>
      </w:r>
      <w:r w:rsidR="00CB2B4A" w:rsidRPr="00B37891">
        <w:t>me</w:t>
      </w:r>
      <w:r w:rsidR="00EF31E0">
        <w:t xml:space="preserve"> need to be supplemented</w:t>
      </w:r>
      <w:r w:rsidR="002E36E7">
        <w:t xml:space="preserve"> </w:t>
      </w:r>
      <w:r w:rsidR="00EF31E0">
        <w:t>by program</w:t>
      </w:r>
      <w:r w:rsidR="00CB2B4A">
        <w:t>me</w:t>
      </w:r>
      <w:r w:rsidR="00EF31E0">
        <w:t>s</w:t>
      </w:r>
      <w:r w:rsidR="00CB2B4A">
        <w:t xml:space="preserve"> like SEEP</w:t>
      </w:r>
      <w:r w:rsidR="00EF31E0">
        <w:t xml:space="preserve">.  </w:t>
      </w:r>
    </w:p>
    <w:p w:rsidR="00F63445" w:rsidRPr="00C73EC7" w:rsidRDefault="00C73EC7" w:rsidP="00E235C8">
      <w:pPr>
        <w:jc w:val="both"/>
      </w:pPr>
      <w:r w:rsidRPr="00C73EC7">
        <w:rPr>
          <w:b/>
          <w:i/>
        </w:rPr>
        <w:t xml:space="preserve">Why </w:t>
      </w:r>
      <w:r w:rsidR="00CB2B4A">
        <w:rPr>
          <w:b/>
          <w:i/>
        </w:rPr>
        <w:t>does</w:t>
      </w:r>
      <w:r w:rsidR="002E36E7">
        <w:rPr>
          <w:b/>
          <w:i/>
        </w:rPr>
        <w:t xml:space="preserve"> </w:t>
      </w:r>
      <w:r w:rsidR="00AB0979">
        <w:rPr>
          <w:b/>
          <w:i/>
        </w:rPr>
        <w:t xml:space="preserve">SEEP </w:t>
      </w:r>
      <w:r w:rsidR="00CB2B4A">
        <w:rPr>
          <w:b/>
          <w:i/>
        </w:rPr>
        <w:t xml:space="preserve">propose </w:t>
      </w:r>
      <w:r w:rsidR="00AB0979">
        <w:rPr>
          <w:b/>
          <w:i/>
        </w:rPr>
        <w:t xml:space="preserve">to give </w:t>
      </w:r>
      <w:r w:rsidR="004006F0">
        <w:rPr>
          <w:b/>
          <w:i/>
        </w:rPr>
        <w:t>incentive</w:t>
      </w:r>
      <w:r w:rsidR="00CB2B4A">
        <w:rPr>
          <w:b/>
          <w:i/>
        </w:rPr>
        <w:t>s</w:t>
      </w:r>
      <w:r w:rsidRPr="00C73EC7">
        <w:rPr>
          <w:b/>
          <w:i/>
        </w:rPr>
        <w:t xml:space="preserve"> to manufacturers instead of consumers?</w:t>
      </w:r>
      <w:r w:rsidR="002E36E7">
        <w:rPr>
          <w:b/>
          <w:i/>
        </w:rPr>
        <w:t xml:space="preserve"> </w:t>
      </w:r>
      <w:r w:rsidR="00CB2B4A">
        <w:t>To take the example of fans, w</w:t>
      </w:r>
      <w:r w:rsidRPr="00C73EC7">
        <w:t>ith</w:t>
      </w:r>
      <w:r>
        <w:t xml:space="preserve"> </w:t>
      </w:r>
      <w:r w:rsidR="002E36E7">
        <w:t>over 3</w:t>
      </w:r>
      <w:r>
        <w:t xml:space="preserve">0 million </w:t>
      </w:r>
      <w:r w:rsidR="00CB2B4A">
        <w:t xml:space="preserve">of them </w:t>
      </w:r>
      <w:r>
        <w:t xml:space="preserve">being produced </w:t>
      </w:r>
      <w:r w:rsidR="00CB2B4A">
        <w:t xml:space="preserve">every </w:t>
      </w:r>
      <w:r w:rsidR="00830C91">
        <w:t xml:space="preserve">year, </w:t>
      </w:r>
      <w:r w:rsidR="006B6539">
        <w:t xml:space="preserve">the process of </w:t>
      </w:r>
      <w:r w:rsidR="00CB2B4A">
        <w:t>disbursing and monitoring incentives to consumers would be too complicated</w:t>
      </w:r>
      <w:r w:rsidR="006B6539">
        <w:t xml:space="preserve"> and expensive</w:t>
      </w:r>
      <w:r w:rsidR="00830C91">
        <w:t xml:space="preserve">. Moreover, consumers would need to be compensated for </w:t>
      </w:r>
      <w:r w:rsidR="006B6539">
        <w:t xml:space="preserve">the </w:t>
      </w:r>
      <w:r w:rsidR="00830C91">
        <w:t xml:space="preserve">price </w:t>
      </w:r>
      <w:r w:rsidR="006B6539">
        <w:t>difference</w:t>
      </w:r>
      <w:r w:rsidR="00830C91">
        <w:t xml:space="preserve">, </w:t>
      </w:r>
      <w:proofErr w:type="spellStart"/>
      <w:r w:rsidR="00F87FB3">
        <w:t>where</w:t>
      </w:r>
      <w:r w:rsidR="002E36E7">
        <w:t xml:space="preserve"> </w:t>
      </w:r>
      <w:r w:rsidR="00F87FB3">
        <w:t>as</w:t>
      </w:r>
      <w:proofErr w:type="spellEnd"/>
      <w:r w:rsidR="002E36E7">
        <w:t xml:space="preserve"> </w:t>
      </w:r>
      <w:r w:rsidR="006B6539">
        <w:t>manufacturers would have to be compensated only for the</w:t>
      </w:r>
      <w:r w:rsidR="00830C91">
        <w:t xml:space="preserve"> incremental cost of </w:t>
      </w:r>
      <w:r w:rsidR="006B6539">
        <w:t xml:space="preserve">the </w:t>
      </w:r>
      <w:r w:rsidR="00830C91">
        <w:t xml:space="preserve">SEAs </w:t>
      </w:r>
      <w:r w:rsidR="006B6539">
        <w:t>in comparison with</w:t>
      </w:r>
      <w:r w:rsidR="00830C91">
        <w:t xml:space="preserve"> normal appliances. Given that </w:t>
      </w:r>
      <w:r w:rsidR="006B6539">
        <w:t xml:space="preserve">the </w:t>
      </w:r>
      <w:r w:rsidR="00830C91">
        <w:t>price</w:t>
      </w:r>
      <w:r w:rsidR="006B6539">
        <w:t xml:space="preserve"> of SEAs</w:t>
      </w:r>
      <w:r w:rsidR="00830C91">
        <w:t xml:space="preserve"> is</w:t>
      </w:r>
      <w:r w:rsidR="00F87FB3">
        <w:t xml:space="preserve"> more than </w:t>
      </w:r>
      <w:r w:rsidR="006B6539">
        <w:t>twice</w:t>
      </w:r>
      <w:r w:rsidR="002E36E7">
        <w:t xml:space="preserve"> </w:t>
      </w:r>
      <w:r w:rsidR="006B6539">
        <w:t>that of normal appliances</w:t>
      </w:r>
      <w:r w:rsidR="00830C91">
        <w:t xml:space="preserve">, the </w:t>
      </w:r>
      <w:r w:rsidR="006B6539">
        <w:t xml:space="preserve">cost of the </w:t>
      </w:r>
      <w:r w:rsidR="00830C91">
        <w:t>program</w:t>
      </w:r>
      <w:r w:rsidR="006B6539">
        <w:t>me</w:t>
      </w:r>
      <w:r w:rsidR="00830C91">
        <w:t xml:space="preserve"> would </w:t>
      </w:r>
      <w:r w:rsidR="006B6539">
        <w:t>more than double.</w:t>
      </w:r>
    </w:p>
    <w:p w:rsidR="00830C91" w:rsidRDefault="00345787" w:rsidP="00E235C8">
      <w:pPr>
        <w:jc w:val="both"/>
      </w:pPr>
      <w:r>
        <w:rPr>
          <w:b/>
          <w:i/>
        </w:rPr>
        <w:t>Why will</w:t>
      </w:r>
      <w:r w:rsidR="00830C91" w:rsidRPr="00830C91">
        <w:rPr>
          <w:b/>
          <w:i/>
        </w:rPr>
        <w:t xml:space="preserve"> manufacturers pass on the benefit to consumers?</w:t>
      </w:r>
      <w:r w:rsidR="00830C91">
        <w:t xml:space="preserve"> The manufacturer will </w:t>
      </w:r>
      <w:r w:rsidR="004006F0">
        <w:t xml:space="preserve">receive </w:t>
      </w:r>
      <w:r>
        <w:t xml:space="preserve">the </w:t>
      </w:r>
      <w:r w:rsidR="004006F0">
        <w:t xml:space="preserve">SEEP </w:t>
      </w:r>
      <w:r w:rsidR="00830C91">
        <w:t xml:space="preserve">incentive only when </w:t>
      </w:r>
      <w:r w:rsidR="004006F0">
        <w:t xml:space="preserve">they </w:t>
      </w:r>
      <w:r w:rsidR="00830C91">
        <w:t xml:space="preserve">sell equipment. For doing so, </w:t>
      </w:r>
      <w:r w:rsidR="004006F0">
        <w:t>they</w:t>
      </w:r>
      <w:r w:rsidR="00830C91">
        <w:t xml:space="preserve"> will have to set the </w:t>
      </w:r>
      <w:r>
        <w:t>price of the appliance</w:t>
      </w:r>
      <w:r w:rsidR="002E36E7">
        <w:t xml:space="preserve"> </w:t>
      </w:r>
      <w:r>
        <w:t>such that</w:t>
      </w:r>
      <w:r w:rsidR="00830C91">
        <w:t xml:space="preserve"> the price-sensitive consumer </w:t>
      </w:r>
      <w:r>
        <w:t xml:space="preserve">will </w:t>
      </w:r>
      <w:r w:rsidR="00830C91">
        <w:t xml:space="preserve">buy it. If </w:t>
      </w:r>
      <w:r>
        <w:t xml:space="preserve">a </w:t>
      </w:r>
      <w:r w:rsidR="00830C91">
        <w:t xml:space="preserve">manufacturer does not </w:t>
      </w:r>
      <w:r w:rsidR="004006F0">
        <w:t xml:space="preserve">pass on the benefit of </w:t>
      </w:r>
      <w:r w:rsidR="002F7843">
        <w:t xml:space="preserve">the </w:t>
      </w:r>
      <w:r w:rsidR="004006F0">
        <w:t xml:space="preserve">incentive by </w:t>
      </w:r>
      <w:r w:rsidR="00830C91">
        <w:t>reduc</w:t>
      </w:r>
      <w:r w:rsidR="004006F0">
        <w:t>ing</w:t>
      </w:r>
      <w:r w:rsidR="00830C91">
        <w:t xml:space="preserve"> the price of the </w:t>
      </w:r>
      <w:r w:rsidR="004006F0">
        <w:t>SEA</w:t>
      </w:r>
      <w:r>
        <w:t>,</w:t>
      </w:r>
      <w:r w:rsidR="00830C91">
        <w:t xml:space="preserve"> he will not be able to sell it</w:t>
      </w:r>
      <w:r>
        <w:t>,</w:t>
      </w:r>
      <w:r w:rsidR="00830C91">
        <w:t xml:space="preserve"> and will not get the incentive.</w:t>
      </w:r>
    </w:p>
    <w:p w:rsidR="00830C91" w:rsidRDefault="00830C91" w:rsidP="00E235C8">
      <w:pPr>
        <w:jc w:val="both"/>
      </w:pPr>
      <w:r w:rsidRPr="006F033A">
        <w:rPr>
          <w:b/>
          <w:i/>
        </w:rPr>
        <w:t xml:space="preserve">Why should </w:t>
      </w:r>
      <w:r w:rsidR="00A06725" w:rsidRPr="006F033A">
        <w:rPr>
          <w:b/>
          <w:i/>
        </w:rPr>
        <w:t xml:space="preserve">money come from </w:t>
      </w:r>
      <w:r w:rsidR="002F7843">
        <w:rPr>
          <w:b/>
          <w:i/>
        </w:rPr>
        <w:t xml:space="preserve">the </w:t>
      </w:r>
      <w:r w:rsidRPr="006F033A">
        <w:rPr>
          <w:b/>
          <w:i/>
        </w:rPr>
        <w:t>budget</w:t>
      </w:r>
      <w:r w:rsidR="002F7843">
        <w:rPr>
          <w:b/>
          <w:i/>
        </w:rPr>
        <w:t>,</w:t>
      </w:r>
      <w:r w:rsidR="00A06725" w:rsidRPr="006F033A">
        <w:rPr>
          <w:b/>
          <w:i/>
        </w:rPr>
        <w:t xml:space="preserve"> and not </w:t>
      </w:r>
      <w:r w:rsidR="00345787">
        <w:rPr>
          <w:b/>
          <w:i/>
        </w:rPr>
        <w:t xml:space="preserve">from </w:t>
      </w:r>
      <w:r w:rsidR="00A06725" w:rsidRPr="006F033A">
        <w:rPr>
          <w:b/>
          <w:i/>
        </w:rPr>
        <w:t>electricity consumers</w:t>
      </w:r>
      <w:r w:rsidRPr="006F033A">
        <w:rPr>
          <w:b/>
          <w:i/>
        </w:rPr>
        <w:t>?</w:t>
      </w:r>
      <w:r w:rsidR="002E36E7">
        <w:rPr>
          <w:b/>
          <w:i/>
        </w:rPr>
        <w:t xml:space="preserve"> </w:t>
      </w:r>
      <w:r w:rsidR="004006F0" w:rsidRPr="004006F0">
        <w:t>The</w:t>
      </w:r>
      <w:r w:rsidR="002E36E7">
        <w:t xml:space="preserve"> </w:t>
      </w:r>
      <w:r w:rsidR="004006F0">
        <w:t xml:space="preserve">reduced energy use </w:t>
      </w:r>
      <w:r w:rsidR="002E36E7">
        <w:t xml:space="preserve">due to efficient appliances </w:t>
      </w:r>
      <w:r w:rsidR="004006F0">
        <w:t xml:space="preserve">has two benefits. (a) It reduces </w:t>
      </w:r>
      <w:r w:rsidR="00A06725">
        <w:t>the cost of electric utilities (and hence electri</w:t>
      </w:r>
      <w:r w:rsidR="004006F0">
        <w:t>city</w:t>
      </w:r>
      <w:r w:rsidR="00A06725">
        <w:t xml:space="preserve"> consumers) through reduced purchase of expensive power</w:t>
      </w:r>
      <w:r w:rsidR="004006F0">
        <w:t xml:space="preserve">. By this </w:t>
      </w:r>
      <w:r w:rsidR="00922F4E">
        <w:t>rationale</w:t>
      </w:r>
      <w:r w:rsidR="004006F0">
        <w:t>,</w:t>
      </w:r>
      <w:r w:rsidR="00A06725">
        <w:t xml:space="preserve"> electric</w:t>
      </w:r>
      <w:r w:rsidR="00922F4E">
        <w:t>ity</w:t>
      </w:r>
      <w:r w:rsidR="00A06725">
        <w:t xml:space="preserve"> consumers </w:t>
      </w:r>
      <w:r w:rsidR="004006F0">
        <w:t xml:space="preserve">(through utility </w:t>
      </w:r>
      <w:r w:rsidR="00B37891">
        <w:t xml:space="preserve">Demand Side Management </w:t>
      </w:r>
      <w:r w:rsidR="004006F0">
        <w:t>program</w:t>
      </w:r>
      <w:r w:rsidR="0018733D">
        <w:t>me</w:t>
      </w:r>
      <w:r w:rsidR="00B37891">
        <w:t>, or DSM</w:t>
      </w:r>
      <w:r w:rsidR="004006F0">
        <w:t xml:space="preserve">) </w:t>
      </w:r>
      <w:r w:rsidR="00A06725">
        <w:t>should pay for this</w:t>
      </w:r>
      <w:r w:rsidR="00922F4E">
        <w:t xml:space="preserve"> benefit</w:t>
      </w:r>
      <w:r w:rsidR="00A06725">
        <w:t xml:space="preserve">. But with </w:t>
      </w:r>
      <w:r w:rsidR="002E36E7">
        <w:t xml:space="preserve">over 60* </w:t>
      </w:r>
      <w:r w:rsidR="00A06725">
        <w:t xml:space="preserve">electric utilities in the country, getting synchronized action </w:t>
      </w:r>
      <w:r w:rsidR="00922F4E">
        <w:t xml:space="preserve">from </w:t>
      </w:r>
      <w:r w:rsidR="00A06725">
        <w:t xml:space="preserve">all utilities and </w:t>
      </w:r>
      <w:r w:rsidR="004006F0">
        <w:t xml:space="preserve">their </w:t>
      </w:r>
      <w:r w:rsidR="00A06725">
        <w:t xml:space="preserve">respective state electricity regulatory commissions </w:t>
      </w:r>
      <w:r w:rsidR="004006F0">
        <w:t xml:space="preserve">(SERCs) </w:t>
      </w:r>
      <w:r w:rsidR="00A06725">
        <w:t>is extremely time consuming</w:t>
      </w:r>
      <w:r w:rsidR="00922F4E">
        <w:t>,</w:t>
      </w:r>
      <w:r w:rsidR="00A06725">
        <w:t xml:space="preserve"> to say the least. </w:t>
      </w:r>
      <w:r w:rsidR="00922F4E">
        <w:t>The time gained</w:t>
      </w:r>
      <w:r w:rsidR="002E36E7">
        <w:t xml:space="preserve"> through a centrally funded project </w:t>
      </w:r>
      <w:r w:rsidR="00922F4E">
        <w:t xml:space="preserve">will </w:t>
      </w:r>
      <w:r w:rsidR="00A06725">
        <w:t xml:space="preserve">be </w:t>
      </w:r>
      <w:r w:rsidR="004006F0">
        <w:t xml:space="preserve">invaluable </w:t>
      </w:r>
      <w:r w:rsidR="00922F4E">
        <w:t xml:space="preserve">because it will </w:t>
      </w:r>
      <w:r w:rsidR="0018733D">
        <w:t>prevent</w:t>
      </w:r>
      <w:r w:rsidR="002E36E7">
        <w:t xml:space="preserve"> </w:t>
      </w:r>
      <w:r w:rsidR="00922F4E">
        <w:t>a</w:t>
      </w:r>
      <w:r w:rsidR="002E36E7">
        <w:t xml:space="preserve"> </w:t>
      </w:r>
      <w:r w:rsidR="006F033A" w:rsidRPr="009D61C9">
        <w:t>lock</w:t>
      </w:r>
      <w:r w:rsidR="004006F0" w:rsidRPr="009D61C9">
        <w:t>-in</w:t>
      </w:r>
      <w:r w:rsidR="002E36E7">
        <w:t xml:space="preserve"> </w:t>
      </w:r>
      <w:r w:rsidR="004006F0">
        <w:t>effect</w:t>
      </w:r>
      <w:r w:rsidR="00A06725">
        <w:t xml:space="preserve">, especially </w:t>
      </w:r>
      <w:r w:rsidR="004006F0">
        <w:t xml:space="preserve">now that </w:t>
      </w:r>
      <w:r w:rsidR="00A06725">
        <w:t>India is building its stock of appliances</w:t>
      </w:r>
      <w:r w:rsidR="004006F0">
        <w:t xml:space="preserve"> and equipment at a record pace</w:t>
      </w:r>
      <w:r w:rsidR="00A06725">
        <w:t xml:space="preserve">. </w:t>
      </w:r>
      <w:r w:rsidR="00922F4E">
        <w:t>I</w:t>
      </w:r>
      <w:r w:rsidR="006F033A">
        <w:t>nefficient appliance</w:t>
      </w:r>
      <w:r w:rsidR="00922F4E">
        <w:t>s</w:t>
      </w:r>
      <w:r w:rsidR="009D61C9">
        <w:t xml:space="preserve"> </w:t>
      </w:r>
      <w:r w:rsidR="004006F0">
        <w:t xml:space="preserve">once </w:t>
      </w:r>
      <w:r w:rsidR="006F033A">
        <w:t xml:space="preserve">produced continue to </w:t>
      </w:r>
      <w:r w:rsidR="004006F0">
        <w:t>burn</w:t>
      </w:r>
      <w:r w:rsidR="006F033A">
        <w:t xml:space="preserve"> excessive energy till </w:t>
      </w:r>
      <w:r w:rsidR="004006F0">
        <w:t xml:space="preserve">the end of </w:t>
      </w:r>
      <w:r w:rsidR="00922F4E">
        <w:t xml:space="preserve">their </w:t>
      </w:r>
      <w:r w:rsidR="004006F0">
        <w:t>life</w:t>
      </w:r>
      <w:r w:rsidR="00922F4E">
        <w:t>,</w:t>
      </w:r>
      <w:r w:rsidR="006F033A">
        <w:t xml:space="preserve"> anything </w:t>
      </w:r>
      <w:r w:rsidR="00922F4E">
        <w:t xml:space="preserve">from </w:t>
      </w:r>
      <w:r w:rsidR="006F033A">
        <w:t xml:space="preserve">10 to 18 years. </w:t>
      </w:r>
      <w:r w:rsidR="003B4A34" w:rsidRPr="008F1011">
        <w:t>(b</w:t>
      </w:r>
      <w:r w:rsidR="004006F0" w:rsidRPr="008F1011">
        <w:t>)</w:t>
      </w:r>
      <w:r w:rsidR="009D61C9">
        <w:t xml:space="preserve"> </w:t>
      </w:r>
      <w:r w:rsidR="008F1011">
        <w:t>Another</w:t>
      </w:r>
      <w:r w:rsidR="004006F0">
        <w:t xml:space="preserve"> benefit of reduced energy use is </w:t>
      </w:r>
      <w:r w:rsidR="00922F4E">
        <w:t xml:space="preserve">that it </w:t>
      </w:r>
      <w:r w:rsidR="004006F0">
        <w:t>enhance</w:t>
      </w:r>
      <w:r w:rsidR="00922F4E">
        <w:t>s</w:t>
      </w:r>
      <w:r w:rsidR="004006F0">
        <w:t xml:space="preserve"> the energy security of the nation. In this case</w:t>
      </w:r>
      <w:r w:rsidR="00922F4E">
        <w:t>,</w:t>
      </w:r>
      <w:r w:rsidR="004006F0">
        <w:t xml:space="preserve"> it will </w:t>
      </w:r>
      <w:r w:rsidR="00922F4E">
        <w:t xml:space="preserve">result </w:t>
      </w:r>
      <w:r w:rsidR="004006F0">
        <w:t xml:space="preserve">in </w:t>
      </w:r>
      <w:r w:rsidR="00922F4E">
        <w:t xml:space="preserve">a </w:t>
      </w:r>
      <w:r w:rsidR="004006F0">
        <w:t xml:space="preserve">direct </w:t>
      </w:r>
      <w:r w:rsidR="004006F0">
        <w:lastRenderedPageBreak/>
        <w:t xml:space="preserve">reduction in </w:t>
      </w:r>
      <w:r w:rsidR="00922F4E">
        <w:t xml:space="preserve">the </w:t>
      </w:r>
      <w:r w:rsidR="004006F0">
        <w:t xml:space="preserve">import of coal. </w:t>
      </w:r>
      <w:r w:rsidR="00922F4E">
        <w:t>B</w:t>
      </w:r>
      <w:r w:rsidR="006F033A">
        <w:t xml:space="preserve">udgetary </w:t>
      </w:r>
      <w:r w:rsidR="004006F0">
        <w:t xml:space="preserve">support is </w:t>
      </w:r>
      <w:r w:rsidR="00922F4E">
        <w:t xml:space="preserve">therefore </w:t>
      </w:r>
      <w:r w:rsidR="004006F0">
        <w:t xml:space="preserve">justified. Moreover, budgetary support will </w:t>
      </w:r>
      <w:r w:rsidR="006F033A">
        <w:t>pre</w:t>
      </w:r>
      <w:r w:rsidR="00F87FB3">
        <w:t>v</w:t>
      </w:r>
      <w:r w:rsidR="006F033A">
        <w:t>ent the loss of precious time</w:t>
      </w:r>
      <w:r w:rsidR="0018733D">
        <w:t>,</w:t>
      </w:r>
      <w:r w:rsidR="006F033A">
        <w:t xml:space="preserve"> and </w:t>
      </w:r>
      <w:r w:rsidR="0018733D">
        <w:t>getting locked into</w:t>
      </w:r>
      <w:r w:rsidR="00CA292F">
        <w:t xml:space="preserve"> an </w:t>
      </w:r>
      <w:r w:rsidR="006F033A">
        <w:t>inefficien</w:t>
      </w:r>
      <w:r w:rsidR="00CA292F">
        <w:t>t stock of appliances</w:t>
      </w:r>
      <w:r w:rsidR="006F033A">
        <w:t>.</w:t>
      </w:r>
      <w:r w:rsidR="009D61C9">
        <w:t xml:space="preserve"> </w:t>
      </w:r>
      <w:r w:rsidR="00C43697">
        <w:t>After the program</w:t>
      </w:r>
      <w:r w:rsidR="0018733D">
        <w:t>me</w:t>
      </w:r>
      <w:r w:rsidR="00C43697">
        <w:t xml:space="preserve"> is proved and streamlined, </w:t>
      </w:r>
      <w:r w:rsidR="00012F66">
        <w:t>during</w:t>
      </w:r>
      <w:r w:rsidR="004215EF">
        <w:t xml:space="preserve"> </w:t>
      </w:r>
      <w:r w:rsidR="0018733D">
        <w:t>its next phase</w:t>
      </w:r>
      <w:r w:rsidR="00C43697" w:rsidRPr="00C43697">
        <w:t xml:space="preserve"> (or for </w:t>
      </w:r>
      <w:r w:rsidR="0018733D">
        <w:t xml:space="preserve">targeting </w:t>
      </w:r>
      <w:r w:rsidR="00C43697" w:rsidRPr="00C43697">
        <w:t xml:space="preserve">selected appliances), it </w:t>
      </w:r>
      <w:r w:rsidR="0018733D">
        <w:t>would be</w:t>
      </w:r>
      <w:r w:rsidR="004215EF">
        <w:t xml:space="preserve"> </w:t>
      </w:r>
      <w:r w:rsidR="00C43697" w:rsidRPr="00C43697">
        <w:t xml:space="preserve">possible to recover </w:t>
      </w:r>
      <w:r w:rsidR="0018733D">
        <w:t xml:space="preserve">the </w:t>
      </w:r>
      <w:r w:rsidR="00C43697">
        <w:t>cost</w:t>
      </w:r>
      <w:r w:rsidR="00C43697" w:rsidRPr="00C43697">
        <w:t xml:space="preserve"> from electricity consumers through the </w:t>
      </w:r>
      <w:r w:rsidR="00B951CC">
        <w:t>electricity tariff</w:t>
      </w:r>
      <w:proofErr w:type="gramStart"/>
      <w:r w:rsidR="009D61C9">
        <w:t>.</w:t>
      </w:r>
      <w:r w:rsidR="00C43697" w:rsidRPr="00C43697">
        <w:t>.</w:t>
      </w:r>
      <w:proofErr w:type="gramEnd"/>
    </w:p>
    <w:p w:rsidR="006848DD" w:rsidRDefault="00453958" w:rsidP="00E235C8">
      <w:pPr>
        <w:jc w:val="both"/>
      </w:pPr>
      <w:r w:rsidRPr="00453958">
        <w:rPr>
          <w:b/>
          <w:i/>
        </w:rPr>
        <w:t xml:space="preserve">Will this be a permanent and continuing </w:t>
      </w:r>
      <w:r w:rsidR="006848DD">
        <w:rPr>
          <w:b/>
          <w:i/>
        </w:rPr>
        <w:t>incentive</w:t>
      </w:r>
      <w:r w:rsidRPr="00453958">
        <w:rPr>
          <w:b/>
          <w:i/>
        </w:rPr>
        <w:t>?</w:t>
      </w:r>
      <w:r>
        <w:t xml:space="preserve"> No. In the initial years, the cost of SEAs is </w:t>
      </w:r>
      <w:r w:rsidR="00CA292F">
        <w:t xml:space="preserve">bound to be </w:t>
      </w:r>
      <w:r>
        <w:t>high</w:t>
      </w:r>
      <w:r w:rsidR="00CA292F">
        <w:t>,</w:t>
      </w:r>
      <w:r>
        <w:t xml:space="preserve"> due to </w:t>
      </w:r>
      <w:r w:rsidR="0018733D">
        <w:t xml:space="preserve">the use of </w:t>
      </w:r>
      <w:r>
        <w:t>new technology and change</w:t>
      </w:r>
      <w:r w:rsidR="0018733D">
        <w:t>s</w:t>
      </w:r>
      <w:r w:rsidR="009D61C9">
        <w:t xml:space="preserve"> </w:t>
      </w:r>
      <w:r w:rsidR="0018733D">
        <w:t xml:space="preserve">in </w:t>
      </w:r>
      <w:r>
        <w:t>production lines. With increasing volumes</w:t>
      </w:r>
      <w:r w:rsidR="0018733D">
        <w:t>,</w:t>
      </w:r>
      <w:r>
        <w:t xml:space="preserve"> the costs would reduce</w:t>
      </w:r>
      <w:r w:rsidR="0018733D">
        <w:t>,</w:t>
      </w:r>
      <w:r>
        <w:t xml:space="preserve"> and consumers would be able to afford the produc</w:t>
      </w:r>
      <w:r w:rsidR="00CA292F">
        <w:t>t</w:t>
      </w:r>
      <w:r>
        <w:t xml:space="preserve">. </w:t>
      </w:r>
      <w:r w:rsidR="0018733D">
        <w:t xml:space="preserve">Hence, </w:t>
      </w:r>
      <w:r>
        <w:t xml:space="preserve">the </w:t>
      </w:r>
      <w:r w:rsidR="00CA292F">
        <w:t xml:space="preserve">need </w:t>
      </w:r>
      <w:r w:rsidR="003B4A34">
        <w:t>f</w:t>
      </w:r>
      <w:r w:rsidR="00CA292F">
        <w:t xml:space="preserve">or </w:t>
      </w:r>
      <w:r w:rsidR="0018733D">
        <w:t xml:space="preserve">a </w:t>
      </w:r>
      <w:r>
        <w:t xml:space="preserve">subsidy would reduce </w:t>
      </w:r>
      <w:r w:rsidR="0018733D">
        <w:t>with time</w:t>
      </w:r>
      <w:r w:rsidR="00CA292F">
        <w:t xml:space="preserve">. In fact, it </w:t>
      </w:r>
      <w:r w:rsidR="0018733D">
        <w:t xml:space="preserve">would be possible to discontinue it </w:t>
      </w:r>
      <w:r w:rsidR="00CA292F">
        <w:t xml:space="preserve">after </w:t>
      </w:r>
      <w:r w:rsidR="0018733D">
        <w:t xml:space="preserve">3 </w:t>
      </w:r>
      <w:r w:rsidR="006848DD">
        <w:t xml:space="preserve">to </w:t>
      </w:r>
      <w:r w:rsidR="0018733D">
        <w:t xml:space="preserve">4 </w:t>
      </w:r>
      <w:r w:rsidR="00F87FB3">
        <w:t>years</w:t>
      </w:r>
      <w:r w:rsidR="006848DD">
        <w:t>. This program</w:t>
      </w:r>
      <w:r w:rsidR="0018733D">
        <w:t>me</w:t>
      </w:r>
      <w:r w:rsidR="006848DD">
        <w:t xml:space="preserve"> is similar to the incentive given to renewable energy technologies</w:t>
      </w:r>
      <w:r w:rsidR="006D2837">
        <w:t>.</w:t>
      </w:r>
      <w:r w:rsidR="009D61C9">
        <w:t xml:space="preserve"> </w:t>
      </w:r>
      <w:r w:rsidR="006D2837">
        <w:t>However,</w:t>
      </w:r>
      <w:r w:rsidR="006848DD">
        <w:t xml:space="preserve"> the incentive to energy benefit ratio is far </w:t>
      </w:r>
      <w:r w:rsidR="006D2837">
        <w:t xml:space="preserve">more </w:t>
      </w:r>
      <w:r w:rsidR="006848DD">
        <w:t>attractive.</w:t>
      </w:r>
      <w:r w:rsidR="00B44D01">
        <w:rPr>
          <w:rStyle w:val="FootnoteReference"/>
        </w:rPr>
        <w:footnoteReference w:id="4"/>
      </w:r>
    </w:p>
    <w:p w:rsidR="006848DD" w:rsidRDefault="00453958" w:rsidP="00E235C8">
      <w:pPr>
        <w:jc w:val="both"/>
      </w:pPr>
      <w:r w:rsidRPr="00453958">
        <w:rPr>
          <w:b/>
          <w:i/>
        </w:rPr>
        <w:t xml:space="preserve">What is the possibility of manufacturers starting to produce inefficient products once the incentive is </w:t>
      </w:r>
      <w:r w:rsidR="006D2837">
        <w:rPr>
          <w:b/>
          <w:i/>
        </w:rPr>
        <w:t>discontinued</w:t>
      </w:r>
      <w:r w:rsidRPr="00453958">
        <w:rPr>
          <w:b/>
          <w:i/>
        </w:rPr>
        <w:t xml:space="preserve">?  </w:t>
      </w:r>
      <w:r>
        <w:t xml:space="preserve">In </w:t>
      </w:r>
      <w:r w:rsidR="00CA292F">
        <w:t xml:space="preserve">most </w:t>
      </w:r>
      <w:r>
        <w:t>case</w:t>
      </w:r>
      <w:r w:rsidR="006D2837">
        <w:t>s</w:t>
      </w:r>
      <w:r>
        <w:t xml:space="preserve">, the cost of </w:t>
      </w:r>
      <w:r w:rsidR="006D2837">
        <w:t xml:space="preserve">the </w:t>
      </w:r>
      <w:r>
        <w:t xml:space="preserve">SEA </w:t>
      </w:r>
      <w:r w:rsidR="006D2837">
        <w:t xml:space="preserve">will </w:t>
      </w:r>
      <w:r w:rsidR="00CA292F">
        <w:t>fall with increasing volumes</w:t>
      </w:r>
      <w:r w:rsidR="006D2837">
        <w:t>,</w:t>
      </w:r>
      <w:r w:rsidR="009D61C9">
        <w:t xml:space="preserve"> </w:t>
      </w:r>
      <w:r w:rsidR="006D2837">
        <w:t>after which</w:t>
      </w:r>
      <w:r w:rsidR="00CA292F">
        <w:t xml:space="preserve"> it </w:t>
      </w:r>
      <w:r w:rsidR="006D2837">
        <w:t>will become</w:t>
      </w:r>
      <w:r w:rsidR="006848DD">
        <w:t xml:space="preserve"> economical for consumers to pay the full cost. There exists a possibility, in case of some appliances, that the cost may </w:t>
      </w:r>
      <w:r>
        <w:t xml:space="preserve">not fall </w:t>
      </w:r>
      <w:r w:rsidR="006848DD">
        <w:t xml:space="preserve">adequately within a period of say </w:t>
      </w:r>
      <w:r w:rsidR="006D2837">
        <w:t xml:space="preserve">4 </w:t>
      </w:r>
      <w:r w:rsidR="006848DD">
        <w:t>years. But the level of incentive required would certainly reduce</w:t>
      </w:r>
      <w:r w:rsidR="003B4A34">
        <w:t>.</w:t>
      </w:r>
      <w:r w:rsidR="006848DD">
        <w:t xml:space="preserve"> By that time, most manufacturers would have acquired the SEA technology</w:t>
      </w:r>
      <w:r w:rsidR="006D2837">
        <w:t xml:space="preserve"> and</w:t>
      </w:r>
      <w:r w:rsidR="006848DD">
        <w:t xml:space="preserve"> modified the</w:t>
      </w:r>
      <w:r w:rsidR="006D2837">
        <w:t>ir</w:t>
      </w:r>
      <w:r w:rsidR="006848DD">
        <w:t xml:space="preserve"> manufacturing lines, and </w:t>
      </w:r>
      <w:r w:rsidR="003B4A34">
        <w:t xml:space="preserve">consumers </w:t>
      </w:r>
      <w:r>
        <w:t xml:space="preserve">would be </w:t>
      </w:r>
      <w:r w:rsidR="006D2837">
        <w:t xml:space="preserve">more </w:t>
      </w:r>
      <w:r>
        <w:t xml:space="preserve">aware of the benefits of </w:t>
      </w:r>
      <w:r w:rsidR="006848DD">
        <w:t>SEAs</w:t>
      </w:r>
      <w:r w:rsidR="00693B44">
        <w:t xml:space="preserve">. </w:t>
      </w:r>
      <w:r w:rsidR="006848DD">
        <w:t xml:space="preserve">At </w:t>
      </w:r>
      <w:r w:rsidR="006D2837">
        <w:t>such a juncture</w:t>
      </w:r>
      <w:r w:rsidR="006848DD">
        <w:t>, at the minimum</w:t>
      </w:r>
      <w:r w:rsidR="008F1011">
        <w:t>,</w:t>
      </w:r>
      <w:r w:rsidR="006848DD">
        <w:t xml:space="preserve"> the </w:t>
      </w:r>
      <w:r w:rsidR="00450BFD">
        <w:t>5</w:t>
      </w:r>
      <w:r w:rsidR="008F1011">
        <w:t>-</w:t>
      </w:r>
      <w:r w:rsidR="00BC10A3">
        <w:t xml:space="preserve">star </w:t>
      </w:r>
      <w:r w:rsidR="008F1011">
        <w:t xml:space="preserve">level </w:t>
      </w:r>
      <w:r w:rsidR="00693B44">
        <w:t xml:space="preserve">can be upgraded </w:t>
      </w:r>
      <w:r w:rsidR="006848DD">
        <w:t xml:space="preserve">to </w:t>
      </w:r>
      <w:r w:rsidR="008F1011">
        <w:t>match the efficiency</w:t>
      </w:r>
      <w:r w:rsidR="006D2837">
        <w:t xml:space="preserve"> of the SEA</w:t>
      </w:r>
      <w:r w:rsidR="006848DD">
        <w:t>.</w:t>
      </w:r>
      <w:r w:rsidR="009D61C9">
        <w:t xml:space="preserve"> </w:t>
      </w:r>
      <w:r w:rsidR="006D2837">
        <w:t xml:space="preserve">Such a </w:t>
      </w:r>
      <w:r w:rsidR="00BC10A3">
        <w:t xml:space="preserve">rapid </w:t>
      </w:r>
      <w:r w:rsidR="006D2837">
        <w:t>effort to upgrade labeling will</w:t>
      </w:r>
      <w:r w:rsidR="009D61C9">
        <w:t xml:space="preserve"> prevent fall back to inefficient models </w:t>
      </w:r>
      <w:r w:rsidR="00BC10A3">
        <w:t xml:space="preserve">to a </w:t>
      </w:r>
      <w:r w:rsidR="008F1011">
        <w:t>sizable</w:t>
      </w:r>
      <w:r w:rsidR="00BC10A3">
        <w:t xml:space="preserve"> extent.</w:t>
      </w:r>
    </w:p>
    <w:p w:rsidR="00693B44" w:rsidRDefault="008F1011" w:rsidP="00E235C8">
      <w:pPr>
        <w:jc w:val="both"/>
      </w:pPr>
      <w:r>
        <w:t>E</w:t>
      </w:r>
      <w:r w:rsidR="00693B44">
        <w:t>ven assuming that none of this happen</w:t>
      </w:r>
      <w:r>
        <w:t>s</w:t>
      </w:r>
      <w:r w:rsidR="00BC10A3">
        <w:t xml:space="preserve"> (</w:t>
      </w:r>
      <w:r>
        <w:t>which is an unlikely situation</w:t>
      </w:r>
      <w:r w:rsidR="00BC10A3">
        <w:t>)</w:t>
      </w:r>
      <w:r w:rsidR="00693B44">
        <w:t xml:space="preserve">, the </w:t>
      </w:r>
      <w:r w:rsidR="00BC10A3">
        <w:t xml:space="preserve">expenditure </w:t>
      </w:r>
      <w:r w:rsidR="006D2837">
        <w:t xml:space="preserve">incurred on SEEP </w:t>
      </w:r>
      <w:r w:rsidR="00693B44">
        <w:t xml:space="preserve">will still </w:t>
      </w:r>
      <w:r w:rsidR="006D2837">
        <w:t xml:space="preserve">be </w:t>
      </w:r>
      <w:r>
        <w:t>beneficial</w:t>
      </w:r>
      <w:r w:rsidR="00693B44">
        <w:t xml:space="preserve">. This is because the cost and benefits </w:t>
      </w:r>
      <w:r w:rsidR="00BC10A3">
        <w:t xml:space="preserve">of SEEP </w:t>
      </w:r>
      <w:r>
        <w:t xml:space="preserve">elaborated </w:t>
      </w:r>
      <w:r w:rsidR="00693B44">
        <w:t xml:space="preserve">in this note </w:t>
      </w:r>
      <w:r w:rsidR="005C6034">
        <w:t>do not take into consideration</w:t>
      </w:r>
      <w:r w:rsidR="00693B44">
        <w:t xml:space="preserve"> such </w:t>
      </w:r>
      <w:r w:rsidR="00BC10A3">
        <w:t>positive spillover</w:t>
      </w:r>
      <w:r w:rsidR="00693B44">
        <w:t xml:space="preserve"> effects.</w:t>
      </w:r>
    </w:p>
    <w:p w:rsidR="00B44D01" w:rsidRDefault="00B44D01" w:rsidP="00E235C8">
      <w:pPr>
        <w:jc w:val="both"/>
      </w:pPr>
      <w:r w:rsidRPr="00713098">
        <w:rPr>
          <w:b/>
          <w:i/>
        </w:rPr>
        <w:t>Do we have a preceden</w:t>
      </w:r>
      <w:r w:rsidR="006F0384">
        <w:rPr>
          <w:b/>
          <w:i/>
        </w:rPr>
        <w:t>t</w:t>
      </w:r>
      <w:r w:rsidR="009D61C9">
        <w:rPr>
          <w:b/>
          <w:i/>
        </w:rPr>
        <w:t xml:space="preserve"> </w:t>
      </w:r>
      <w:r w:rsidR="005C6034">
        <w:rPr>
          <w:b/>
          <w:i/>
        </w:rPr>
        <w:t>for</w:t>
      </w:r>
      <w:r w:rsidR="009D61C9">
        <w:rPr>
          <w:b/>
          <w:i/>
        </w:rPr>
        <w:t xml:space="preserve"> </w:t>
      </w:r>
      <w:r w:rsidRPr="00713098">
        <w:rPr>
          <w:b/>
          <w:i/>
        </w:rPr>
        <w:t>such schemes?</w:t>
      </w:r>
      <w:r>
        <w:t xml:space="preserve"> Several </w:t>
      </w:r>
      <w:r w:rsidR="00B93329">
        <w:t xml:space="preserve">industrialized </w:t>
      </w:r>
      <w:r>
        <w:t xml:space="preserve">countries have implemented </w:t>
      </w:r>
      <w:r w:rsidR="00733279">
        <w:t xml:space="preserve">similar </w:t>
      </w:r>
      <w:r>
        <w:t xml:space="preserve">schemes. </w:t>
      </w:r>
      <w:r w:rsidR="005C6034">
        <w:t xml:space="preserve">The </w:t>
      </w:r>
      <w:r>
        <w:t>US has implemented schemes called (a) Golden-Carrot for SE refrigerators (</w:t>
      </w:r>
      <w:r w:rsidR="008D618E">
        <w:t>1994-1997</w:t>
      </w:r>
      <w:r>
        <w:t xml:space="preserve">), and (b) </w:t>
      </w:r>
      <w:r w:rsidR="008D618E">
        <w:t>80 plus program</w:t>
      </w:r>
      <w:r w:rsidR="005C6034">
        <w:t>me</w:t>
      </w:r>
      <w:r>
        <w:t xml:space="preserve"> for more efficient power supply</w:t>
      </w:r>
      <w:r w:rsidR="008F1011">
        <w:t xml:space="preserve"> for computers</w:t>
      </w:r>
      <w:r>
        <w:t xml:space="preserve">. In fact, </w:t>
      </w:r>
      <w:r w:rsidR="005C6034">
        <w:t xml:space="preserve">utilities in </w:t>
      </w:r>
      <w:r>
        <w:t xml:space="preserve">California have </w:t>
      </w:r>
      <w:r w:rsidR="005C6034">
        <w:t xml:space="preserve">a </w:t>
      </w:r>
      <w:r>
        <w:t>series of such program</w:t>
      </w:r>
      <w:r w:rsidR="005C6034">
        <w:t>me</w:t>
      </w:r>
      <w:r>
        <w:t>s</w:t>
      </w:r>
      <w:r w:rsidR="008D618E">
        <w:rPr>
          <w:rStyle w:val="FootnoteReference"/>
        </w:rPr>
        <w:footnoteReference w:id="5"/>
      </w:r>
      <w:r>
        <w:t xml:space="preserve">.  China implemented a </w:t>
      </w:r>
      <w:r w:rsidR="005C6034">
        <w:t xml:space="preserve">major </w:t>
      </w:r>
      <w:r>
        <w:t>program</w:t>
      </w:r>
      <w:r w:rsidR="005C6034">
        <w:t>me</w:t>
      </w:r>
      <w:r w:rsidR="009D61C9">
        <w:t xml:space="preserve"> </w:t>
      </w:r>
      <w:r w:rsidR="008D618E">
        <w:t xml:space="preserve">in 2000-2006 </w:t>
      </w:r>
      <w:r>
        <w:t xml:space="preserve">to upgrade the efficiency of refrigerators </w:t>
      </w:r>
      <w:r w:rsidR="005C6034">
        <w:t>under manufacture</w:t>
      </w:r>
      <w:r>
        <w:t>. More recently, it has rolled out a major incentive program</w:t>
      </w:r>
      <w:r w:rsidR="005C6034">
        <w:t>me</w:t>
      </w:r>
      <w:r>
        <w:t xml:space="preserve"> to increase the efficiency of </w:t>
      </w:r>
      <w:r w:rsidR="008D618E">
        <w:t>a</w:t>
      </w:r>
      <w:r>
        <w:t>ir</w:t>
      </w:r>
      <w:r w:rsidR="005C6034">
        <w:t>-</w:t>
      </w:r>
      <w:r w:rsidR="00FA7E8E">
        <w:t>c</w:t>
      </w:r>
      <w:r>
        <w:t>onditioners. The list of such ‘up-stream’ program</w:t>
      </w:r>
      <w:r w:rsidR="005C6034">
        <w:t>me</w:t>
      </w:r>
      <w:r>
        <w:t>s is sizable.</w:t>
      </w:r>
    </w:p>
    <w:p w:rsidR="00E36F06" w:rsidRDefault="00E035C8" w:rsidP="00E235C8">
      <w:pPr>
        <w:jc w:val="both"/>
      </w:pPr>
      <w:r w:rsidRPr="00E035C8">
        <w:rPr>
          <w:b/>
          <w:i/>
        </w:rPr>
        <w:t>How will compliance be ensured</w:t>
      </w:r>
      <w:r w:rsidR="005C6034">
        <w:rPr>
          <w:b/>
          <w:i/>
        </w:rPr>
        <w:t>,</w:t>
      </w:r>
      <w:r w:rsidRPr="00E035C8">
        <w:rPr>
          <w:b/>
          <w:i/>
        </w:rPr>
        <w:t xml:space="preserve"> and gaming</w:t>
      </w:r>
      <w:r w:rsidR="005C6034">
        <w:rPr>
          <w:b/>
          <w:i/>
        </w:rPr>
        <w:t xml:space="preserve"> avoided</w:t>
      </w:r>
      <w:r w:rsidRPr="00E035C8">
        <w:rPr>
          <w:b/>
          <w:i/>
        </w:rPr>
        <w:t>?</w:t>
      </w:r>
      <w:r w:rsidR="009D61C9">
        <w:rPr>
          <w:b/>
          <w:i/>
        </w:rPr>
        <w:t xml:space="preserve"> </w:t>
      </w:r>
      <w:r>
        <w:t xml:space="preserve">The envisaged </w:t>
      </w:r>
      <w:r w:rsidR="00E36F06">
        <w:rPr>
          <w:rStyle w:val="st"/>
        </w:rPr>
        <w:t>Evaluation,</w:t>
      </w:r>
      <w:r w:rsidR="005C6034">
        <w:rPr>
          <w:rStyle w:val="st"/>
        </w:rPr>
        <w:t xml:space="preserve"> Measurement and Verification</w:t>
      </w:r>
      <w:r w:rsidR="00E36F06">
        <w:rPr>
          <w:rStyle w:val="st"/>
        </w:rPr>
        <w:t xml:space="preserve"> (</w:t>
      </w:r>
      <w:r>
        <w:t>EM&amp;V</w:t>
      </w:r>
      <w:r w:rsidR="00E36F06">
        <w:t>)</w:t>
      </w:r>
      <w:r>
        <w:t xml:space="preserve"> protocol </w:t>
      </w:r>
      <w:r w:rsidR="00C1730F">
        <w:t xml:space="preserve">for SEEP </w:t>
      </w:r>
      <w:r>
        <w:t xml:space="preserve">will have two direct checks for </w:t>
      </w:r>
      <w:r w:rsidR="00E36F06">
        <w:t xml:space="preserve">the </w:t>
      </w:r>
      <w:r w:rsidRPr="00B93329">
        <w:t>quantity</w:t>
      </w:r>
      <w:r>
        <w:t xml:space="preserve"> of </w:t>
      </w:r>
      <w:r w:rsidR="00E36F06">
        <w:t xml:space="preserve">the </w:t>
      </w:r>
      <w:r w:rsidR="00BC10A3">
        <w:t>appliance</w:t>
      </w:r>
      <w:r w:rsidR="00E36F06">
        <w:t>,</w:t>
      </w:r>
      <w:r>
        <w:t xml:space="preserve"> and two checks </w:t>
      </w:r>
      <w:r w:rsidR="00E36F06">
        <w:t xml:space="preserve">for </w:t>
      </w:r>
      <w:r w:rsidRPr="00B93329">
        <w:t>quality</w:t>
      </w:r>
      <w:r>
        <w:t xml:space="preserve">. The manufacturer </w:t>
      </w:r>
      <w:r w:rsidR="00E36F06">
        <w:t xml:space="preserve">will </w:t>
      </w:r>
      <w:r w:rsidR="00BC10A3">
        <w:t xml:space="preserve">have to </w:t>
      </w:r>
      <w:r>
        <w:t xml:space="preserve">first </w:t>
      </w:r>
      <w:r w:rsidR="00BC10A3">
        <w:t xml:space="preserve">demonstrate that he can produce the SEA (through a tested product in </w:t>
      </w:r>
      <w:r w:rsidR="00E36F06">
        <w:t xml:space="preserve">an </w:t>
      </w:r>
      <w:r w:rsidR="00BC10A3">
        <w:t xml:space="preserve">approved lab), </w:t>
      </w:r>
      <w:r w:rsidR="00E36F06">
        <w:t xml:space="preserve">following which he will be required to provide </w:t>
      </w:r>
      <w:r>
        <w:t>monthly statement</w:t>
      </w:r>
      <w:r w:rsidR="00733279">
        <w:t>s</w:t>
      </w:r>
      <w:r w:rsidR="009D61C9">
        <w:t xml:space="preserve"> </w:t>
      </w:r>
      <w:r w:rsidR="00BC10A3">
        <w:t>along with a certificate</w:t>
      </w:r>
      <w:r w:rsidR="00E36F06">
        <w:t xml:space="preserve"> from a chartered accountant</w:t>
      </w:r>
      <w:r w:rsidR="00BC10A3">
        <w:t xml:space="preserve"> for</w:t>
      </w:r>
      <w:r>
        <w:t xml:space="preserve"> the </w:t>
      </w:r>
      <w:r w:rsidR="00BC10A3">
        <w:t xml:space="preserve">quantity </w:t>
      </w:r>
      <w:r>
        <w:t>of SEA</w:t>
      </w:r>
      <w:r w:rsidR="00BC10A3">
        <w:t>s</w:t>
      </w:r>
      <w:r>
        <w:t xml:space="preserve"> produced. Th</w:t>
      </w:r>
      <w:r w:rsidR="00BC10A3">
        <w:t xml:space="preserve">e quantity </w:t>
      </w:r>
      <w:r>
        <w:t xml:space="preserve">will be cross-checked </w:t>
      </w:r>
      <w:r w:rsidR="00E36F06">
        <w:t xml:space="preserve">against </w:t>
      </w:r>
      <w:r>
        <w:t xml:space="preserve">the </w:t>
      </w:r>
      <w:r w:rsidR="00E36F06">
        <w:t>e</w:t>
      </w:r>
      <w:r>
        <w:t xml:space="preserve">xcise </w:t>
      </w:r>
      <w:r w:rsidR="00B93329">
        <w:t xml:space="preserve">duty </w:t>
      </w:r>
      <w:r>
        <w:t xml:space="preserve">paid by the manufacturer. Each SEA will carry a specially designed label uniquely numbered by the BEE. </w:t>
      </w:r>
    </w:p>
    <w:p w:rsidR="00E035C8" w:rsidRDefault="00644B90" w:rsidP="00E235C8">
      <w:pPr>
        <w:jc w:val="both"/>
      </w:pPr>
      <w:r>
        <w:lastRenderedPageBreak/>
        <w:t xml:space="preserve">For </w:t>
      </w:r>
      <w:r w:rsidR="00E36F06">
        <w:t>quality control</w:t>
      </w:r>
      <w:r>
        <w:t xml:space="preserve">, random samples from </w:t>
      </w:r>
      <w:r w:rsidR="00E36F06">
        <w:t xml:space="preserve">the </w:t>
      </w:r>
      <w:r>
        <w:t xml:space="preserve">market </w:t>
      </w:r>
      <w:r w:rsidR="00E36F06">
        <w:t xml:space="preserve">will be </w:t>
      </w:r>
      <w:r>
        <w:t xml:space="preserve">tested. </w:t>
      </w:r>
      <w:r w:rsidR="00E035C8">
        <w:t>A</w:t>
      </w:r>
      <w:r w:rsidR="00BC10A3">
        <w:t>n</w:t>
      </w:r>
      <w:r w:rsidR="00E035C8">
        <w:t xml:space="preserve"> additional </w:t>
      </w:r>
      <w:r w:rsidR="00BC10A3">
        <w:t>feature</w:t>
      </w:r>
      <w:r w:rsidR="004215EF">
        <w:t xml:space="preserve"> </w:t>
      </w:r>
      <w:r>
        <w:t xml:space="preserve">of </w:t>
      </w:r>
      <w:r w:rsidR="00E36F06">
        <w:t xml:space="preserve">feedback from </w:t>
      </w:r>
      <w:r w:rsidR="00E035C8">
        <w:t>consumer</w:t>
      </w:r>
      <w:r w:rsidR="00E36F06">
        <w:t>s</w:t>
      </w:r>
      <w:r w:rsidR="004215EF">
        <w:t xml:space="preserve"> </w:t>
      </w:r>
      <w:r>
        <w:t>is proposed</w:t>
      </w:r>
      <w:r w:rsidR="00E035C8">
        <w:t xml:space="preserve">. </w:t>
      </w:r>
      <w:r>
        <w:t>C</w:t>
      </w:r>
      <w:r w:rsidR="00E035C8">
        <w:t xml:space="preserve">onsumers purchasing </w:t>
      </w:r>
      <w:r w:rsidR="00E36F06">
        <w:t xml:space="preserve">an </w:t>
      </w:r>
      <w:r w:rsidR="00E035C8">
        <w:t>SEA under the scheme can participate in a lucky draw</w:t>
      </w:r>
      <w:r w:rsidR="00E36F06">
        <w:t>,</w:t>
      </w:r>
      <w:r w:rsidR="00E035C8">
        <w:t xml:space="preserve"> by </w:t>
      </w:r>
      <w:r>
        <w:t xml:space="preserve">registering the product through an </w:t>
      </w:r>
      <w:r w:rsidR="00E035C8">
        <w:t xml:space="preserve">SMS containing the </w:t>
      </w:r>
      <w:r>
        <w:t xml:space="preserve">BEE label </w:t>
      </w:r>
      <w:r w:rsidR="00E035C8">
        <w:t>number</w:t>
      </w:r>
      <w:r w:rsidR="00E36F06">
        <w:t>,</w:t>
      </w:r>
      <w:r w:rsidR="009D61C9">
        <w:t xml:space="preserve"> </w:t>
      </w:r>
      <w:r w:rsidR="00E36F06">
        <w:t xml:space="preserve">which </w:t>
      </w:r>
      <w:r w:rsidR="00E035C8">
        <w:t xml:space="preserve">will identify the product </w:t>
      </w:r>
      <w:r>
        <w:t xml:space="preserve">purchased by </w:t>
      </w:r>
      <w:r w:rsidR="00E035C8">
        <w:t xml:space="preserve">the consumer. </w:t>
      </w:r>
      <w:r w:rsidR="00E36F06">
        <w:t>Feedback will be obtained by contacting these consumers</w:t>
      </w:r>
      <w:r w:rsidR="00E035C8">
        <w:t xml:space="preserve">. A part of the budget will be allocated for this detailed </w:t>
      </w:r>
      <w:r>
        <w:t>E</w:t>
      </w:r>
      <w:r w:rsidR="00E035C8">
        <w:t>M&amp;V process.</w:t>
      </w:r>
    </w:p>
    <w:p w:rsidR="001F2214" w:rsidRDefault="00E035C8" w:rsidP="00E235C8">
      <w:pPr>
        <w:jc w:val="both"/>
      </w:pPr>
      <w:r w:rsidRPr="00E035C8">
        <w:rPr>
          <w:b/>
          <w:i/>
        </w:rPr>
        <w:t>How will the incentive level be decided</w:t>
      </w:r>
      <w:r w:rsidR="00DC1C83">
        <w:rPr>
          <w:b/>
          <w:i/>
        </w:rPr>
        <w:t xml:space="preserve"> for an appliance</w:t>
      </w:r>
      <w:r w:rsidRPr="00E035C8">
        <w:rPr>
          <w:b/>
          <w:i/>
        </w:rPr>
        <w:t>?</w:t>
      </w:r>
      <w:r w:rsidR="009D61C9">
        <w:rPr>
          <w:b/>
          <w:i/>
        </w:rPr>
        <w:t xml:space="preserve"> </w:t>
      </w:r>
      <w:r>
        <w:t xml:space="preserve">Two </w:t>
      </w:r>
      <w:r w:rsidR="00F17742">
        <w:t>possible methods</w:t>
      </w:r>
      <w:r w:rsidR="00E36F06">
        <w:t xml:space="preserve"> are available to</w:t>
      </w:r>
      <w:r w:rsidR="00DC1C83">
        <w:t xml:space="preserve"> decide </w:t>
      </w:r>
      <w:r w:rsidR="00E36F06">
        <w:t xml:space="preserve">the </w:t>
      </w:r>
      <w:r w:rsidR="001016CE">
        <w:t xml:space="preserve">incentive level </w:t>
      </w:r>
      <w:r w:rsidR="00E36F06">
        <w:t xml:space="preserve">for each </w:t>
      </w:r>
      <w:r w:rsidR="001016CE">
        <w:t>appliance</w:t>
      </w:r>
      <w:r w:rsidR="00DC1C83">
        <w:t xml:space="preserve">. </w:t>
      </w:r>
      <w:r>
        <w:t xml:space="preserve">(a) </w:t>
      </w:r>
      <w:r w:rsidR="00DC1C83">
        <w:t>B</w:t>
      </w:r>
      <w:r>
        <w:t xml:space="preserve">idding: </w:t>
      </w:r>
      <w:r w:rsidR="00DC1C83">
        <w:t xml:space="preserve">For the declared technical specification of </w:t>
      </w:r>
      <w:r w:rsidR="00217FAE">
        <w:t xml:space="preserve">the </w:t>
      </w:r>
      <w:r w:rsidR="00DC1C83">
        <w:t>appliance (say fans)</w:t>
      </w:r>
      <w:r w:rsidR="00217FAE">
        <w:t>,</w:t>
      </w:r>
      <w:r w:rsidR="00DC1C83">
        <w:t xml:space="preserve"> manufacturers can be asked to bid </w:t>
      </w:r>
      <w:r w:rsidR="00217FAE">
        <w:t xml:space="preserve">for </w:t>
      </w:r>
      <w:r w:rsidR="00DC1C83">
        <w:t xml:space="preserve">the minimum incentive required. The manufacturer </w:t>
      </w:r>
      <w:r w:rsidR="001016CE">
        <w:t>c</w:t>
      </w:r>
      <w:r w:rsidR="00DC1C83">
        <w:t xml:space="preserve">ould </w:t>
      </w:r>
      <w:r w:rsidR="001016CE">
        <w:t xml:space="preserve">be asked to guarantee </w:t>
      </w:r>
      <w:r w:rsidR="00DC1C83">
        <w:t xml:space="preserve">a minimum </w:t>
      </w:r>
      <w:r w:rsidR="001016CE">
        <w:t xml:space="preserve">quantity of </w:t>
      </w:r>
      <w:r w:rsidR="00DC1C83">
        <w:t>sale</w:t>
      </w:r>
      <w:r w:rsidR="00217FAE">
        <w:t>s</w:t>
      </w:r>
      <w:r w:rsidR="004215EF">
        <w:t xml:space="preserve"> </w:t>
      </w:r>
      <w:r w:rsidR="00E37420">
        <w:t>to prevent non-se</w:t>
      </w:r>
      <w:r w:rsidR="00CA5D5A">
        <w:t xml:space="preserve">rious bids. Bidding </w:t>
      </w:r>
      <w:r w:rsidR="00217FAE">
        <w:t xml:space="preserve">by a </w:t>
      </w:r>
      <w:r w:rsidR="00CA5D5A">
        <w:t xml:space="preserve">single </w:t>
      </w:r>
      <w:r w:rsidR="00E37420">
        <w:t xml:space="preserve">winning manufacturer </w:t>
      </w:r>
      <w:r w:rsidR="00217FAE">
        <w:t>will defeat</w:t>
      </w:r>
      <w:r w:rsidR="00DC1C83">
        <w:t xml:space="preserve"> the basic objective of encouraging all manufactu</w:t>
      </w:r>
      <w:r w:rsidR="00F87FB3">
        <w:t>rers to produce SEAs</w:t>
      </w:r>
      <w:r w:rsidR="00DC1C83">
        <w:t xml:space="preserve">. This can be </w:t>
      </w:r>
      <w:r w:rsidR="00F87FB3">
        <w:t xml:space="preserve">partially remedied by allowing </w:t>
      </w:r>
      <w:r w:rsidR="00E37420">
        <w:t xml:space="preserve">all bidders </w:t>
      </w:r>
      <w:r w:rsidR="00DC1C83">
        <w:t>to match the lowest bid</w:t>
      </w:r>
      <w:r w:rsidR="00217FAE">
        <w:t>,</w:t>
      </w:r>
      <w:r w:rsidR="00DC1C83">
        <w:t xml:space="preserve"> and giv</w:t>
      </w:r>
      <w:r w:rsidR="00217FAE">
        <w:t>ing</w:t>
      </w:r>
      <w:r w:rsidR="001F2214">
        <w:t xml:space="preserve"> a small incentive to the lowest bidder </w:t>
      </w:r>
      <w:r w:rsidR="00707989">
        <w:t>(</w:t>
      </w:r>
      <w:r w:rsidR="001F2214">
        <w:t xml:space="preserve">to maintain </w:t>
      </w:r>
      <w:r w:rsidR="00707989">
        <w:t xml:space="preserve">an </w:t>
      </w:r>
      <w:r w:rsidR="001F2214">
        <w:t xml:space="preserve">incentive </w:t>
      </w:r>
      <w:r w:rsidR="00707989">
        <w:t>for low</w:t>
      </w:r>
      <w:r w:rsidR="001F2214">
        <w:t xml:space="preserve"> bid</w:t>
      </w:r>
      <w:r w:rsidR="00707989">
        <w:t>ding)</w:t>
      </w:r>
      <w:r w:rsidR="001F2214">
        <w:t>.</w:t>
      </w:r>
      <w:r>
        <w:t xml:space="preserve"> (b) </w:t>
      </w:r>
      <w:r w:rsidR="00F17742">
        <w:t>A f</w:t>
      </w:r>
      <w:r w:rsidR="00217FAE">
        <w:t>lat incentive: All manufacturers will be</w:t>
      </w:r>
      <w:r w:rsidR="001F2214">
        <w:t xml:space="preserve"> offer</w:t>
      </w:r>
      <w:r w:rsidR="00217FAE">
        <w:t>ed</w:t>
      </w:r>
      <w:r w:rsidR="001F2214">
        <w:t xml:space="preserve"> a </w:t>
      </w:r>
      <w:r>
        <w:t xml:space="preserve">flat incentive </w:t>
      </w:r>
      <w:r w:rsidR="001F2214">
        <w:t xml:space="preserve">(like </w:t>
      </w:r>
      <w:r w:rsidR="00217FAE">
        <w:t xml:space="preserve">a </w:t>
      </w:r>
      <w:r w:rsidR="001F2214">
        <w:t>Feed-in</w:t>
      </w:r>
      <w:r w:rsidR="00F17742">
        <w:t>-</w:t>
      </w:r>
      <w:r w:rsidR="001F2214">
        <w:t>tariff)</w:t>
      </w:r>
      <w:r w:rsidR="00707989">
        <w:t xml:space="preserve">, equal to </w:t>
      </w:r>
      <w:r w:rsidR="001F2214">
        <w:t xml:space="preserve">the </w:t>
      </w:r>
      <w:r>
        <w:t>estimat</w:t>
      </w:r>
      <w:r w:rsidR="00707989">
        <w:t>ed</w:t>
      </w:r>
      <w:r w:rsidR="00E16E21">
        <w:t xml:space="preserve"> </w:t>
      </w:r>
      <w:r w:rsidR="001F2214">
        <w:t xml:space="preserve">incremental </w:t>
      </w:r>
      <w:r>
        <w:t xml:space="preserve">cost </w:t>
      </w:r>
      <w:r w:rsidR="001F2214">
        <w:t xml:space="preserve">of producing </w:t>
      </w:r>
      <w:r w:rsidR="00217FAE">
        <w:t xml:space="preserve">the </w:t>
      </w:r>
      <w:r w:rsidR="001F2214">
        <w:t>SEA</w:t>
      </w:r>
      <w:r w:rsidR="00707989">
        <w:t xml:space="preserve">. A </w:t>
      </w:r>
      <w:r>
        <w:t xml:space="preserve">ceiling of </w:t>
      </w:r>
      <w:proofErr w:type="spellStart"/>
      <w:r>
        <w:t>Rs</w:t>
      </w:r>
      <w:proofErr w:type="spellEnd"/>
      <w:r>
        <w:t xml:space="preserve"> 1</w:t>
      </w:r>
      <w:r w:rsidR="00707989">
        <w:t>.5</w:t>
      </w:r>
      <w:r>
        <w:t xml:space="preserve">/unit </w:t>
      </w:r>
      <w:r w:rsidR="001F2214">
        <w:t xml:space="preserve">of electricity </w:t>
      </w:r>
      <w:r>
        <w:t>saved</w:t>
      </w:r>
      <w:r w:rsidR="001F2214">
        <w:t xml:space="preserve"> in </w:t>
      </w:r>
      <w:r w:rsidR="00217FAE">
        <w:t xml:space="preserve">the </w:t>
      </w:r>
      <w:r w:rsidR="00707989">
        <w:t xml:space="preserve">first </w:t>
      </w:r>
      <w:r w:rsidR="001F2214">
        <w:t>5 years</w:t>
      </w:r>
      <w:r w:rsidR="00E16E21">
        <w:t xml:space="preserve"> </w:t>
      </w:r>
      <w:r w:rsidR="00217FAE">
        <w:t xml:space="preserve">of usage of </w:t>
      </w:r>
      <w:r w:rsidR="00707989">
        <w:t xml:space="preserve">the SEA can be </w:t>
      </w:r>
      <w:r w:rsidR="00217FAE">
        <w:t xml:space="preserve">set </w:t>
      </w:r>
      <w:r w:rsidR="00707989">
        <w:t>for this purpose.</w:t>
      </w:r>
    </w:p>
    <w:p w:rsidR="00A53DFA" w:rsidRDefault="00217FAE" w:rsidP="00E235C8">
      <w:pPr>
        <w:jc w:val="both"/>
      </w:pPr>
      <w:r>
        <w:t>B</w:t>
      </w:r>
      <w:r w:rsidR="00707989">
        <w:t xml:space="preserve">idding will </w:t>
      </w:r>
      <w:r w:rsidR="004215EF">
        <w:t>minimize</w:t>
      </w:r>
      <w:r w:rsidR="00707989">
        <w:t xml:space="preserve"> the incentive </w:t>
      </w:r>
      <w:r w:rsidR="004312B8">
        <w:t>per piece</w:t>
      </w:r>
      <w:r w:rsidR="00707989">
        <w:t>.</w:t>
      </w:r>
      <w:r w:rsidR="00E16E21">
        <w:t xml:space="preserve"> </w:t>
      </w:r>
      <w:r>
        <w:t xml:space="preserve">However, </w:t>
      </w:r>
      <w:r w:rsidR="004312B8">
        <w:t xml:space="preserve">this may </w:t>
      </w:r>
      <w:r w:rsidR="00C1730F">
        <w:t xml:space="preserve">result in </w:t>
      </w:r>
      <w:r w:rsidR="00707989">
        <w:t xml:space="preserve">the adoption </w:t>
      </w:r>
      <w:r w:rsidR="00C1730F">
        <w:t xml:space="preserve">of the new technology </w:t>
      </w:r>
      <w:r w:rsidR="0042424F">
        <w:t xml:space="preserve">by </w:t>
      </w:r>
      <w:r w:rsidR="004312B8">
        <w:t xml:space="preserve">fewer </w:t>
      </w:r>
      <w:r w:rsidR="00707989">
        <w:t>manufacturers</w:t>
      </w:r>
      <w:r>
        <w:t>,</w:t>
      </w:r>
      <w:r w:rsidR="00E16E21">
        <w:t xml:space="preserve"> </w:t>
      </w:r>
      <w:r>
        <w:t>which will in turn limit</w:t>
      </w:r>
      <w:r w:rsidR="004312B8">
        <w:t xml:space="preserve"> the sale of SEAs. As seen before, since the benefit of </w:t>
      </w:r>
      <w:r>
        <w:t xml:space="preserve">the </w:t>
      </w:r>
      <w:r w:rsidR="004312B8">
        <w:t xml:space="preserve">SEA would be equivalent to low cost energy supply, </w:t>
      </w:r>
      <w:r w:rsidR="00C1730F">
        <w:t xml:space="preserve">sales of SEAs </w:t>
      </w:r>
      <w:r w:rsidR="004312B8">
        <w:t xml:space="preserve">should ideally be </w:t>
      </w:r>
      <w:r w:rsidR="004215EF">
        <w:t>maximized</w:t>
      </w:r>
      <w:r w:rsidR="004312B8">
        <w:t xml:space="preserve">. </w:t>
      </w:r>
      <w:r w:rsidR="0042424F">
        <w:t>It may be appropriate to encourage all manufacturers and maximize the uptake, a</w:t>
      </w:r>
      <w:r w:rsidR="001F2214">
        <w:t>fter setting a</w:t>
      </w:r>
      <w:r>
        <w:t>n</w:t>
      </w:r>
      <w:r w:rsidR="00E16E21">
        <w:t xml:space="preserve"> </w:t>
      </w:r>
      <w:r w:rsidR="004312B8">
        <w:t>incentive level (</w:t>
      </w:r>
      <w:r w:rsidR="0042424F">
        <w:t xml:space="preserve">say </w:t>
      </w:r>
      <w:r w:rsidR="004312B8">
        <w:t xml:space="preserve">equivalent to </w:t>
      </w:r>
      <w:proofErr w:type="spellStart"/>
      <w:r w:rsidR="004312B8">
        <w:t>Rs</w:t>
      </w:r>
      <w:proofErr w:type="spellEnd"/>
      <w:r w:rsidR="004312B8">
        <w:t xml:space="preserve"> 1.5/unit)</w:t>
      </w:r>
      <w:r w:rsidR="0042424F">
        <w:t>.</w:t>
      </w:r>
      <w:r w:rsidR="001F2214">
        <w:t xml:space="preserve"> In other words, competitive bidding may reduce the incentive below the estimated cost level, but is </w:t>
      </w:r>
      <w:r w:rsidR="00B93329">
        <w:t xml:space="preserve">also </w:t>
      </w:r>
      <w:r w:rsidR="001F2214">
        <w:t xml:space="preserve">likely to reduce </w:t>
      </w:r>
      <w:r w:rsidR="004312B8">
        <w:t xml:space="preserve">the </w:t>
      </w:r>
      <w:r w:rsidR="001F2214">
        <w:t xml:space="preserve">electricity </w:t>
      </w:r>
      <w:r w:rsidR="00B93329">
        <w:t xml:space="preserve">saving, and which </w:t>
      </w:r>
      <w:r w:rsidR="00F17742">
        <w:t xml:space="preserve">will have to be produced </w:t>
      </w:r>
      <w:r w:rsidR="001F2214">
        <w:t xml:space="preserve">from costly sources (with a tariff of </w:t>
      </w:r>
      <w:proofErr w:type="spellStart"/>
      <w:r w:rsidR="001F2214">
        <w:t>Rs</w:t>
      </w:r>
      <w:proofErr w:type="spellEnd"/>
      <w:r w:rsidR="001F2214">
        <w:t xml:space="preserve"> 3 to </w:t>
      </w:r>
      <w:r w:rsidR="004312B8">
        <w:t>4</w:t>
      </w:r>
      <w:r w:rsidR="001F2214">
        <w:t xml:space="preserve"> / unit). </w:t>
      </w:r>
      <w:r w:rsidR="00B93329">
        <w:t>A net result of this wo</w:t>
      </w:r>
      <w:r w:rsidR="009B675D">
        <w:t>uld be increase in overall cost.</w:t>
      </w:r>
    </w:p>
    <w:p w:rsidR="004312B8" w:rsidRDefault="004312B8" w:rsidP="00E235C8">
      <w:pPr>
        <w:jc w:val="both"/>
      </w:pPr>
      <w:r>
        <w:t xml:space="preserve">Hence, a flat incentive (similar to the </w:t>
      </w:r>
      <w:r w:rsidR="00C1730F">
        <w:t>f</w:t>
      </w:r>
      <w:r>
        <w:t>eed-in-tariff) may be beneficial</w:t>
      </w:r>
      <w:r w:rsidR="00A53DFA">
        <w:t xml:space="preserve"> especially till most manufacturers start producing SEA models</w:t>
      </w:r>
      <w:r>
        <w:t>.</w:t>
      </w:r>
      <w:r w:rsidR="00E16E21">
        <w:t xml:space="preserve"> </w:t>
      </w:r>
      <w:r>
        <w:t xml:space="preserve">At the same time, offering </w:t>
      </w:r>
      <w:r w:rsidR="00F17742">
        <w:t xml:space="preserve">an </w:t>
      </w:r>
      <w:r>
        <w:t>excessive incentive</w:t>
      </w:r>
      <w:r w:rsidR="00A53DFA">
        <w:t xml:space="preserve"> is wasteful</w:t>
      </w:r>
      <w:r>
        <w:t xml:space="preserve">. </w:t>
      </w:r>
      <w:r w:rsidR="001F2214">
        <w:t xml:space="preserve">This trade-off can be managed by </w:t>
      </w:r>
      <w:r w:rsidR="00713098">
        <w:t xml:space="preserve">a three step process (a) </w:t>
      </w:r>
      <w:r w:rsidR="001F2214">
        <w:t xml:space="preserve">set </w:t>
      </w:r>
      <w:r w:rsidR="00F17742">
        <w:t xml:space="preserve">a </w:t>
      </w:r>
      <w:r w:rsidR="001F2214">
        <w:t>fixed (</w:t>
      </w:r>
      <w:r w:rsidR="00713098">
        <w:t>but</w:t>
      </w:r>
      <w:r w:rsidR="001F2214">
        <w:t xml:space="preserve"> declining) incentive level for </w:t>
      </w:r>
      <w:r w:rsidR="00713098">
        <w:t xml:space="preserve">the </w:t>
      </w:r>
      <w:r w:rsidR="001F2214">
        <w:t xml:space="preserve">first </w:t>
      </w:r>
      <w:r w:rsidR="00450BFD">
        <w:t>2</w:t>
      </w:r>
      <w:r w:rsidR="001F2214">
        <w:t xml:space="preserve"> years</w:t>
      </w:r>
      <w:r w:rsidR="00713098">
        <w:t>,</w:t>
      </w:r>
      <w:r w:rsidR="00E16E21">
        <w:t xml:space="preserve"> </w:t>
      </w:r>
      <w:r w:rsidR="00713098">
        <w:t xml:space="preserve">(b) </w:t>
      </w:r>
      <w:r w:rsidR="00F17742">
        <w:t>implement</w:t>
      </w:r>
      <w:r w:rsidR="00713098">
        <w:t xml:space="preserve"> competitive bidding </w:t>
      </w:r>
      <w:r w:rsidR="00B93329">
        <w:t xml:space="preserve">during the second round of year three and four. Finally </w:t>
      </w:r>
      <w:r w:rsidR="00713098">
        <w:t xml:space="preserve">withdraw the scheme </w:t>
      </w:r>
      <w:r w:rsidR="00B93329">
        <w:t>at the end of second round, and</w:t>
      </w:r>
      <w:r w:rsidR="00713098">
        <w:t xml:space="preserve"> (c) progressiv</w:t>
      </w:r>
      <w:r w:rsidR="002B51C9">
        <w:t>e</w:t>
      </w:r>
      <w:r w:rsidR="00F17742">
        <w:t>ly</w:t>
      </w:r>
      <w:r w:rsidR="00E16E21">
        <w:t xml:space="preserve"> </w:t>
      </w:r>
      <w:r w:rsidR="00F17742">
        <w:t>upgrade</w:t>
      </w:r>
      <w:r w:rsidR="00E16E21">
        <w:t xml:space="preserve"> </w:t>
      </w:r>
      <w:r w:rsidR="00F17742">
        <w:t xml:space="preserve">the </w:t>
      </w:r>
      <w:r w:rsidR="00713098">
        <w:t xml:space="preserve">S&amp;L levels </w:t>
      </w:r>
      <w:r>
        <w:t>i</w:t>
      </w:r>
      <w:r w:rsidR="00713098">
        <w:t xml:space="preserve">n the second </w:t>
      </w:r>
      <w:r w:rsidR="00B93329">
        <w:t xml:space="preserve">or </w:t>
      </w:r>
      <w:r>
        <w:t>third</w:t>
      </w:r>
      <w:r w:rsidR="00713098">
        <w:t xml:space="preserve"> year to </w:t>
      </w:r>
      <w:r w:rsidR="00713098" w:rsidRPr="00E16E21">
        <w:t>lock-in</w:t>
      </w:r>
      <w:r w:rsidR="00E16E21">
        <w:t xml:space="preserve"> </w:t>
      </w:r>
      <w:r w:rsidR="004A1B75">
        <w:t>savings</w:t>
      </w:r>
      <w:r w:rsidR="00713098">
        <w:t>. At any time</w:t>
      </w:r>
      <w:r>
        <w:t>,</w:t>
      </w:r>
      <w:r w:rsidR="00713098">
        <w:t xml:space="preserve"> if more than 50</w:t>
      </w:r>
      <w:r w:rsidR="00E16E21">
        <w:t>-70</w:t>
      </w:r>
      <w:r w:rsidR="00713098">
        <w:t>% of the products sold meet the SEA levels</w:t>
      </w:r>
      <w:r w:rsidR="004A1B75">
        <w:t>,</w:t>
      </w:r>
      <w:r w:rsidR="00713098">
        <w:t xml:space="preserve"> the scheme </w:t>
      </w:r>
      <w:r w:rsidR="00E16E21">
        <w:t>c</w:t>
      </w:r>
      <w:r w:rsidR="00713098">
        <w:t>ould be stopped and the S&amp;L levels upgraded.</w:t>
      </w:r>
    </w:p>
    <w:p w:rsidR="00B44D01" w:rsidRPr="00693B44" w:rsidRDefault="00B44D01" w:rsidP="00E235C8">
      <w:pPr>
        <w:jc w:val="both"/>
        <w:rPr>
          <w:b/>
        </w:rPr>
      </w:pPr>
      <w:r w:rsidRPr="00E035C8">
        <w:rPr>
          <w:b/>
          <w:i/>
        </w:rPr>
        <w:t>How is the funding level determined?</w:t>
      </w:r>
      <w:r w:rsidR="00E16E21">
        <w:rPr>
          <w:b/>
          <w:i/>
        </w:rPr>
        <w:t xml:space="preserve"> </w:t>
      </w:r>
      <w:r w:rsidRPr="00693B44">
        <w:t>The</w:t>
      </w:r>
      <w:r>
        <w:t xml:space="preserve"> requirement</w:t>
      </w:r>
      <w:r w:rsidR="004A1B75">
        <w:t xml:space="preserve"> for funds</w:t>
      </w:r>
      <w:r>
        <w:t xml:space="preserve"> is </w:t>
      </w:r>
      <w:r w:rsidR="001A6A3A">
        <w:t xml:space="preserve">a function of (a) </w:t>
      </w:r>
      <w:r w:rsidR="004A1B75">
        <w:t xml:space="preserve">the </w:t>
      </w:r>
      <w:r w:rsidR="001A6A3A">
        <w:t>number of appliances under the program</w:t>
      </w:r>
      <w:r w:rsidR="004A1B75">
        <w:t>me</w:t>
      </w:r>
      <w:r w:rsidR="00E16E21">
        <w:t xml:space="preserve"> </w:t>
      </w:r>
      <w:r w:rsidR="0042424F">
        <w:t xml:space="preserve">(b) </w:t>
      </w:r>
      <w:r w:rsidR="001A6A3A">
        <w:t>starting date</w:t>
      </w:r>
      <w:r w:rsidR="0042424F">
        <w:t xml:space="preserve"> for each appliance, </w:t>
      </w:r>
      <w:r w:rsidR="001A6A3A">
        <w:t>(</w:t>
      </w:r>
      <w:r w:rsidR="0042424F">
        <w:t>c</w:t>
      </w:r>
      <w:r w:rsidR="001A6A3A">
        <w:t xml:space="preserve">) </w:t>
      </w:r>
      <w:r w:rsidR="004A1B75">
        <w:t xml:space="preserve">the </w:t>
      </w:r>
      <w:r w:rsidR="001A6A3A">
        <w:t xml:space="preserve">level of incentive, </w:t>
      </w:r>
      <w:r>
        <w:t xml:space="preserve">and </w:t>
      </w:r>
      <w:r w:rsidR="001A6A3A">
        <w:t>(</w:t>
      </w:r>
      <w:r w:rsidR="0042424F">
        <w:t>d</w:t>
      </w:r>
      <w:r w:rsidR="001A6A3A">
        <w:t xml:space="preserve">) </w:t>
      </w:r>
      <w:r>
        <w:t xml:space="preserve">the sales of SEAs. </w:t>
      </w:r>
      <w:r w:rsidR="001A6A3A">
        <w:t xml:space="preserve">All </w:t>
      </w:r>
      <w:r w:rsidR="0042424F">
        <w:t xml:space="preserve">four </w:t>
      </w:r>
      <w:r w:rsidR="004A1B75">
        <w:t>factors</w:t>
      </w:r>
      <w:r w:rsidR="001A6A3A">
        <w:t xml:space="preserve"> can only be estimated</w:t>
      </w:r>
      <w:r w:rsidR="004A1B75">
        <w:t>,</w:t>
      </w:r>
      <w:r w:rsidR="00E16E21">
        <w:t xml:space="preserve"> </w:t>
      </w:r>
      <w:r>
        <w:t xml:space="preserve">and </w:t>
      </w:r>
      <w:r w:rsidR="00A434B7">
        <w:t xml:space="preserve">the </w:t>
      </w:r>
      <w:r>
        <w:t xml:space="preserve">actual funding requirement may </w:t>
      </w:r>
      <w:r w:rsidR="001A6A3A">
        <w:t xml:space="preserve">turn out to be </w:t>
      </w:r>
      <w:r>
        <w:t xml:space="preserve">different. </w:t>
      </w:r>
      <w:r w:rsidR="001A6A3A">
        <w:t xml:space="preserve">With the proposed </w:t>
      </w:r>
      <w:r>
        <w:t xml:space="preserve">cost ceiling </w:t>
      </w:r>
      <w:r w:rsidR="001A6A3A">
        <w:t>(</w:t>
      </w:r>
      <w:r>
        <w:t>cost of conserved energy</w:t>
      </w:r>
      <w:r w:rsidR="001A6A3A">
        <w:t>)</w:t>
      </w:r>
      <w:r>
        <w:t xml:space="preserve"> of </w:t>
      </w:r>
      <w:proofErr w:type="spellStart"/>
      <w:r>
        <w:t>Rs</w:t>
      </w:r>
      <w:proofErr w:type="spellEnd"/>
      <w:r>
        <w:t xml:space="preserve"> 1.5 / unit</w:t>
      </w:r>
      <w:r w:rsidR="001A6A3A">
        <w:t xml:space="preserve">, and </w:t>
      </w:r>
      <w:r w:rsidR="004A1B75">
        <w:t xml:space="preserve">the </w:t>
      </w:r>
      <w:r w:rsidR="001A6A3A">
        <w:t xml:space="preserve">expenditure being </w:t>
      </w:r>
      <w:r w:rsidR="004A1B75">
        <w:t xml:space="preserve">incurred </w:t>
      </w:r>
      <w:r w:rsidR="001A6A3A">
        <w:t>post-facto</w:t>
      </w:r>
      <w:r w:rsidR="004A1B75">
        <w:t>, i.e.</w:t>
      </w:r>
      <w:r w:rsidR="001A6A3A">
        <w:t xml:space="preserve"> after the production of SEAs, exceeding the budget would be a welcome sign</w:t>
      </w:r>
      <w:r w:rsidR="00A53DFA">
        <w:t>.</w:t>
      </w:r>
    </w:p>
    <w:p w:rsidR="00E035C8" w:rsidRDefault="00E035C8" w:rsidP="00E235C8">
      <w:pPr>
        <w:jc w:val="both"/>
      </w:pPr>
      <w:r w:rsidRPr="00E035C8">
        <w:rPr>
          <w:b/>
          <w:i/>
        </w:rPr>
        <w:t>How is this program</w:t>
      </w:r>
      <w:r w:rsidR="002834EF">
        <w:rPr>
          <w:b/>
          <w:i/>
        </w:rPr>
        <w:t>me</w:t>
      </w:r>
      <w:r w:rsidRPr="00E035C8">
        <w:rPr>
          <w:b/>
          <w:i/>
        </w:rPr>
        <w:t xml:space="preserve"> good for the </w:t>
      </w:r>
      <w:proofErr w:type="spellStart"/>
      <w:r w:rsidR="006C5E44">
        <w:rPr>
          <w:b/>
          <w:i/>
        </w:rPr>
        <w:t>a</w:t>
      </w:r>
      <w:r w:rsidRPr="00E035C8">
        <w:rPr>
          <w:b/>
          <w:i/>
        </w:rPr>
        <w:t>am</w:t>
      </w:r>
      <w:proofErr w:type="spellEnd"/>
      <w:r w:rsidR="00E16E21">
        <w:rPr>
          <w:b/>
          <w:i/>
        </w:rPr>
        <w:t xml:space="preserve"> </w:t>
      </w:r>
      <w:proofErr w:type="spellStart"/>
      <w:r w:rsidR="006C5E44">
        <w:rPr>
          <w:b/>
          <w:i/>
        </w:rPr>
        <w:t>a</w:t>
      </w:r>
      <w:r w:rsidRPr="00E035C8">
        <w:rPr>
          <w:b/>
          <w:i/>
        </w:rPr>
        <w:t>admi</w:t>
      </w:r>
      <w:proofErr w:type="spellEnd"/>
      <w:r w:rsidRPr="00E035C8">
        <w:rPr>
          <w:b/>
          <w:i/>
        </w:rPr>
        <w:t>?</w:t>
      </w:r>
      <w:r w:rsidR="00713098">
        <w:t xml:space="preserve"> The energy sav</w:t>
      </w:r>
      <w:r w:rsidR="004A1B75">
        <w:t>ed</w:t>
      </w:r>
      <w:r w:rsidR="00713098">
        <w:t xml:space="preserve"> due to SEAs </w:t>
      </w:r>
      <w:r w:rsidR="004A1B75">
        <w:t xml:space="preserve">will </w:t>
      </w:r>
      <w:r w:rsidR="004312B8">
        <w:t xml:space="preserve">directly </w:t>
      </w:r>
      <w:r w:rsidR="00713098">
        <w:t>reduce electricity bill</w:t>
      </w:r>
      <w:r w:rsidR="004A1B75">
        <w:t>s</w:t>
      </w:r>
      <w:r w:rsidR="00E16E21">
        <w:t xml:space="preserve"> </w:t>
      </w:r>
      <w:r w:rsidR="004A1B75">
        <w:t xml:space="preserve">for </w:t>
      </w:r>
      <w:r w:rsidR="00713098">
        <w:t xml:space="preserve">consumers </w:t>
      </w:r>
      <w:r w:rsidR="004A1B75">
        <w:t xml:space="preserve">who </w:t>
      </w:r>
      <w:r w:rsidR="00713098">
        <w:t>buy SEA</w:t>
      </w:r>
      <w:r w:rsidR="004312B8">
        <w:t>s</w:t>
      </w:r>
      <w:r w:rsidR="00713098">
        <w:t xml:space="preserve">. Moreover, it will also reduce the electricity </w:t>
      </w:r>
      <w:r w:rsidR="004312B8">
        <w:t xml:space="preserve">bill of utilities due to reduced </w:t>
      </w:r>
      <w:r w:rsidR="008F1011">
        <w:t>electricity purchase</w:t>
      </w:r>
      <w:r w:rsidR="00713098">
        <w:t xml:space="preserve"> from </w:t>
      </w:r>
      <w:r w:rsidR="004312B8">
        <w:t xml:space="preserve">costly sources such as </w:t>
      </w:r>
      <w:r w:rsidR="00713098">
        <w:t>imported coal or natural-gas</w:t>
      </w:r>
      <w:r w:rsidR="004A1B75">
        <w:t>.</w:t>
      </w:r>
      <w:r w:rsidR="00E16E21">
        <w:t xml:space="preserve"> </w:t>
      </w:r>
      <w:r w:rsidR="004A1B75">
        <w:t>H</w:t>
      </w:r>
      <w:r w:rsidR="00713098">
        <w:t>ence</w:t>
      </w:r>
      <w:r w:rsidR="004A1B75">
        <w:t>, it will</w:t>
      </w:r>
      <w:r w:rsidR="00713098">
        <w:t xml:space="preserve"> reduc</w:t>
      </w:r>
      <w:r w:rsidR="004312B8">
        <w:t>e</w:t>
      </w:r>
      <w:r w:rsidR="00E16E21">
        <w:t xml:space="preserve"> </w:t>
      </w:r>
      <w:r w:rsidR="004A1B75">
        <w:t xml:space="preserve">the </w:t>
      </w:r>
      <w:r w:rsidR="00713098">
        <w:t>electricity tariff for all.</w:t>
      </w:r>
      <w:r w:rsidR="004A1B75">
        <w:t xml:space="preserve"> A reduction in</w:t>
      </w:r>
      <w:r w:rsidR="00713098">
        <w:t xml:space="preserve"> imports will also strengthen the energy security</w:t>
      </w:r>
      <w:r w:rsidR="00DA257A">
        <w:t>,</w:t>
      </w:r>
      <w:r w:rsidR="00E16E21">
        <w:t xml:space="preserve"> </w:t>
      </w:r>
      <w:r w:rsidR="00DA257A">
        <w:t xml:space="preserve">leading to </w:t>
      </w:r>
      <w:r w:rsidR="00713098">
        <w:t>a wider positive impact.</w:t>
      </w:r>
    </w:p>
    <w:p w:rsidR="004215EF" w:rsidRPr="00034874" w:rsidRDefault="004215EF" w:rsidP="00E235C8">
      <w:pPr>
        <w:jc w:val="both"/>
        <w:rPr>
          <w:b/>
        </w:rPr>
      </w:pPr>
      <w:r>
        <w:lastRenderedPageBreak/>
        <w:t>------------------</w:t>
      </w:r>
    </w:p>
    <w:p w:rsidR="004215EF" w:rsidRPr="004215EF" w:rsidRDefault="004215EF" w:rsidP="00E235C8">
      <w:pPr>
        <w:spacing w:after="0" w:line="240" w:lineRule="auto"/>
        <w:jc w:val="both"/>
        <w:rPr>
          <w:b/>
          <w:sz w:val="24"/>
          <w:szCs w:val="24"/>
        </w:rPr>
      </w:pPr>
      <w:r w:rsidRPr="004215EF">
        <w:rPr>
          <w:b/>
          <w:sz w:val="24"/>
          <w:szCs w:val="24"/>
        </w:rPr>
        <w:t>Prayas Energy Group,</w:t>
      </w:r>
    </w:p>
    <w:p w:rsidR="004215EF" w:rsidRPr="004215EF" w:rsidRDefault="004215EF" w:rsidP="00E235C8">
      <w:pPr>
        <w:spacing w:after="0" w:line="240" w:lineRule="auto"/>
        <w:jc w:val="both"/>
        <w:rPr>
          <w:b/>
          <w:sz w:val="24"/>
          <w:szCs w:val="24"/>
        </w:rPr>
      </w:pPr>
      <w:r w:rsidRPr="004215EF">
        <w:rPr>
          <w:b/>
          <w:sz w:val="24"/>
          <w:szCs w:val="24"/>
        </w:rPr>
        <w:t>Pune</w:t>
      </w:r>
    </w:p>
    <w:p w:rsidR="004215EF" w:rsidRDefault="004215EF" w:rsidP="00E235C8">
      <w:pPr>
        <w:spacing w:after="0"/>
        <w:jc w:val="both"/>
      </w:pPr>
      <w:r>
        <w:t>10</w:t>
      </w:r>
      <w:r w:rsidRPr="004215EF">
        <w:rPr>
          <w:vertAlign w:val="superscript"/>
        </w:rPr>
        <w:t>th</w:t>
      </w:r>
      <w:r>
        <w:t xml:space="preserve"> Jan, 2012.</w:t>
      </w:r>
    </w:p>
    <w:p w:rsidR="0042424F" w:rsidRDefault="0042424F" w:rsidP="00E235C8">
      <w:pPr>
        <w:jc w:val="both"/>
      </w:pPr>
    </w:p>
    <w:sectPr w:rsidR="0042424F" w:rsidSect="00CB34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6A" w:rsidRDefault="005C396A" w:rsidP="006816ED">
      <w:pPr>
        <w:spacing w:after="0" w:line="240" w:lineRule="auto"/>
      </w:pPr>
      <w:r>
        <w:separator/>
      </w:r>
    </w:p>
  </w:endnote>
  <w:endnote w:type="continuationSeparator" w:id="0">
    <w:p w:rsidR="005C396A" w:rsidRDefault="005C396A" w:rsidP="0068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C" w:rsidRDefault="00C8530C">
    <w:pPr>
      <w:pStyle w:val="Footer"/>
    </w:pPr>
  </w:p>
  <w:p w:rsidR="00A10555" w:rsidRDefault="00A10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6A" w:rsidRDefault="005C396A" w:rsidP="006816ED">
      <w:pPr>
        <w:spacing w:after="0" w:line="240" w:lineRule="auto"/>
      </w:pPr>
      <w:r>
        <w:separator/>
      </w:r>
    </w:p>
  </w:footnote>
  <w:footnote w:type="continuationSeparator" w:id="0">
    <w:p w:rsidR="005C396A" w:rsidRDefault="005C396A" w:rsidP="006816ED">
      <w:pPr>
        <w:spacing w:after="0" w:line="240" w:lineRule="auto"/>
      </w:pPr>
      <w:r>
        <w:continuationSeparator/>
      </w:r>
    </w:p>
  </w:footnote>
  <w:footnote w:id="1">
    <w:p w:rsidR="00922F4E" w:rsidRPr="0031295B" w:rsidRDefault="00922F4E" w:rsidP="00170CF9">
      <w:pPr>
        <w:pStyle w:val="FootnoteText"/>
      </w:pPr>
      <w:r w:rsidRPr="0031295B">
        <w:rPr>
          <w:rStyle w:val="FootnoteReference"/>
        </w:rPr>
        <w:footnoteRef/>
      </w:r>
      <w:r w:rsidRPr="0031295B">
        <w:t xml:space="preserve">  Even if the S&amp;L </w:t>
      </w:r>
      <w:proofErr w:type="spellStart"/>
      <w:r w:rsidRPr="0031295B">
        <w:t>program</w:t>
      </w:r>
      <w:r w:rsidR="0018733D">
        <w:t>me</w:t>
      </w:r>
      <w:r>
        <w:t>is</w:t>
      </w:r>
      <w:proofErr w:type="spellEnd"/>
      <w:r w:rsidRPr="0031295B">
        <w:t xml:space="preserve"> implemented aggressively, the SEEP would still result in </w:t>
      </w:r>
      <w:r>
        <w:t xml:space="preserve">an </w:t>
      </w:r>
      <w:r w:rsidRPr="0031295B">
        <w:t xml:space="preserve">additional saving of 40 </w:t>
      </w:r>
      <w:r w:rsidRPr="00B37891">
        <w:t xml:space="preserve">Billion </w:t>
      </w:r>
      <w:r w:rsidR="00B37891" w:rsidRPr="00B37891">
        <w:t>U</w:t>
      </w:r>
      <w:r w:rsidRPr="00B37891">
        <w:t>nits</w:t>
      </w:r>
      <w:r w:rsidRPr="0031295B">
        <w:t>.</w:t>
      </w:r>
    </w:p>
  </w:footnote>
  <w:footnote w:id="2">
    <w:p w:rsidR="00922F4E" w:rsidRPr="00170CF9" w:rsidRDefault="00922F4E" w:rsidP="00170CF9">
      <w:pPr>
        <w:pStyle w:val="FootnoteText"/>
        <w:rPr>
          <w:u w:val="single"/>
          <w:lang w:val="en-GB"/>
        </w:rPr>
      </w:pPr>
      <w:r w:rsidRPr="00FB1901">
        <w:rPr>
          <w:rStyle w:val="FootnoteReference"/>
        </w:rPr>
        <w:footnoteRef/>
      </w:r>
      <w:proofErr w:type="gramStart"/>
      <w:r w:rsidRPr="00FB1901">
        <w:rPr>
          <w:i/>
          <w:lang w:val="en-GB"/>
        </w:rPr>
        <w:t>Potential Savings from Selected Super-Efficient Electric Appliances in India</w:t>
      </w:r>
      <w:r w:rsidRPr="00FB1901">
        <w:rPr>
          <w:lang w:val="en-GB"/>
        </w:rPr>
        <w:t>.</w:t>
      </w:r>
      <w:proofErr w:type="gramEnd"/>
      <w:r w:rsidRPr="00FB1901">
        <w:rPr>
          <w:lang w:val="en-GB"/>
        </w:rPr>
        <w:t xml:space="preserve"> Prayas Energy Group, Pune, India, June 2011. Available </w:t>
      </w:r>
      <w:r>
        <w:rPr>
          <w:lang w:val="en-GB"/>
        </w:rPr>
        <w:t>at</w:t>
      </w:r>
      <w:r w:rsidRPr="00FB1901">
        <w:rPr>
          <w:lang w:val="en-GB"/>
        </w:rPr>
        <w:t xml:space="preserve">: </w:t>
      </w:r>
      <w:hyperlink r:id="rId1" w:history="1">
        <w:r w:rsidRPr="00FB1901">
          <w:rPr>
            <w:rStyle w:val="Hyperlink"/>
          </w:rPr>
          <w:t>http://www.prayaspune.org/peg/publications/item/155.html</w:t>
        </w:r>
      </w:hyperlink>
    </w:p>
    <w:p w:rsidR="00922F4E" w:rsidRDefault="00922F4E">
      <w:pPr>
        <w:pStyle w:val="FootnoteText"/>
      </w:pPr>
    </w:p>
  </w:footnote>
  <w:footnote w:id="3">
    <w:p w:rsidR="0057293C" w:rsidRDefault="0057293C" w:rsidP="0057293C">
      <w:pPr>
        <w:pStyle w:val="FootnoteText"/>
      </w:pPr>
      <w:r>
        <w:rPr>
          <w:rStyle w:val="FootnoteReference"/>
        </w:rPr>
        <w:footnoteRef/>
      </w:r>
      <w:r>
        <w:t xml:space="preserve">  Technically speaking, there are two reasons for the problem:(1) a higher discount rate (20-30%) for consumers, compared to the discount rate for public agencies (~10%), and (2) the tariff is not set at the ‘marginal cost’ of supply in order to avoid a regressive impact.</w:t>
      </w:r>
    </w:p>
  </w:footnote>
  <w:footnote w:id="4">
    <w:p w:rsidR="00922F4E" w:rsidRDefault="00922F4E">
      <w:pPr>
        <w:pStyle w:val="FootnoteText"/>
      </w:pPr>
      <w:r>
        <w:rPr>
          <w:rStyle w:val="FootnoteReference"/>
        </w:rPr>
        <w:footnoteRef/>
      </w:r>
      <w:r>
        <w:t xml:space="preserve">  The </w:t>
      </w:r>
      <w:proofErr w:type="spellStart"/>
      <w:r>
        <w:t>levelised</w:t>
      </w:r>
      <w:proofErr w:type="spellEnd"/>
      <w:r>
        <w:t xml:space="preserve"> subsidy for solar electricity is about </w:t>
      </w:r>
      <w:proofErr w:type="spellStart"/>
      <w:r>
        <w:t>Rs</w:t>
      </w:r>
      <w:proofErr w:type="spellEnd"/>
      <w:r>
        <w:t xml:space="preserve"> 8/ unit, and the SEEP budget </w:t>
      </w:r>
      <w:r w:rsidR="009D61C9">
        <w:t xml:space="preserve">request </w:t>
      </w:r>
      <w:r>
        <w:t xml:space="preserve">of </w:t>
      </w:r>
      <w:proofErr w:type="spellStart"/>
      <w:r>
        <w:t>Rs</w:t>
      </w:r>
      <w:proofErr w:type="spellEnd"/>
      <w:r>
        <w:t xml:space="preserve"> 6,200 Cr is comparable to the Present Value of subsidy for only 500 MW of solar plants. The SEEP energy benefits are likely to be equal to 20,000 MW of solar plants.</w:t>
      </w:r>
    </w:p>
  </w:footnote>
  <w:footnote w:id="5">
    <w:p w:rsidR="00922F4E" w:rsidRDefault="00922F4E">
      <w:pPr>
        <w:pStyle w:val="FootnoteText"/>
      </w:pPr>
      <w:r>
        <w:rPr>
          <w:rStyle w:val="FootnoteReference"/>
        </w:rPr>
        <w:footnoteRef/>
      </w:r>
      <w:hyperlink r:id="rId2" w:history="1">
        <w:r>
          <w:rPr>
            <w:rStyle w:val="Hyperlink"/>
          </w:rPr>
          <w:t>http://www.dsireusa.org/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8FB"/>
    <w:multiLevelType w:val="hybridMultilevel"/>
    <w:tmpl w:val="982C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151BD"/>
    <w:multiLevelType w:val="hybridMultilevel"/>
    <w:tmpl w:val="0FEE8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35C95"/>
    <w:multiLevelType w:val="hybridMultilevel"/>
    <w:tmpl w:val="62721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DC7A08"/>
    <w:multiLevelType w:val="hybridMultilevel"/>
    <w:tmpl w:val="62721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C1D97"/>
    <w:multiLevelType w:val="hybridMultilevel"/>
    <w:tmpl w:val="982C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D756B"/>
    <w:multiLevelType w:val="hybridMultilevel"/>
    <w:tmpl w:val="03005A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40FFB"/>
    <w:multiLevelType w:val="hybridMultilevel"/>
    <w:tmpl w:val="E13A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B33FF"/>
    <w:multiLevelType w:val="hybridMultilevel"/>
    <w:tmpl w:val="339C5C6C"/>
    <w:lvl w:ilvl="0" w:tplc="EA706A00">
      <w:start w:val="1"/>
      <w:numFmt w:val="decimal"/>
      <w:lvlText w:val="%1."/>
      <w:lvlJc w:val="left"/>
      <w:pPr>
        <w:ind w:left="720" w:hanging="360"/>
      </w:pPr>
      <w:rPr>
        <w:b w:val="0"/>
      </w:rPr>
    </w:lvl>
    <w:lvl w:ilvl="1" w:tplc="3604A4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00A6B"/>
    <w:multiLevelType w:val="hybridMultilevel"/>
    <w:tmpl w:val="E13A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874"/>
    <w:rsid w:val="00012F66"/>
    <w:rsid w:val="00031747"/>
    <w:rsid w:val="00034874"/>
    <w:rsid w:val="00036F82"/>
    <w:rsid w:val="00050D61"/>
    <w:rsid w:val="00083758"/>
    <w:rsid w:val="00092A95"/>
    <w:rsid w:val="000A4680"/>
    <w:rsid w:val="000A7930"/>
    <w:rsid w:val="000E0C66"/>
    <w:rsid w:val="001016CE"/>
    <w:rsid w:val="0010238F"/>
    <w:rsid w:val="001173DF"/>
    <w:rsid w:val="00126AC4"/>
    <w:rsid w:val="00144367"/>
    <w:rsid w:val="00150066"/>
    <w:rsid w:val="00170CF9"/>
    <w:rsid w:val="00170D44"/>
    <w:rsid w:val="0018733D"/>
    <w:rsid w:val="00193E09"/>
    <w:rsid w:val="001A6A3A"/>
    <w:rsid w:val="001C5AC1"/>
    <w:rsid w:val="001D7FC8"/>
    <w:rsid w:val="001F19DD"/>
    <w:rsid w:val="001F2214"/>
    <w:rsid w:val="002162E9"/>
    <w:rsid w:val="00217FAE"/>
    <w:rsid w:val="00241D37"/>
    <w:rsid w:val="002834EF"/>
    <w:rsid w:val="00296022"/>
    <w:rsid w:val="002A06E8"/>
    <w:rsid w:val="002B51C9"/>
    <w:rsid w:val="002E36E7"/>
    <w:rsid w:val="002E47DD"/>
    <w:rsid w:val="002F7843"/>
    <w:rsid w:val="003025EA"/>
    <w:rsid w:val="00304AC7"/>
    <w:rsid w:val="0031295B"/>
    <w:rsid w:val="00340259"/>
    <w:rsid w:val="00344443"/>
    <w:rsid w:val="00345787"/>
    <w:rsid w:val="00354B0A"/>
    <w:rsid w:val="00356757"/>
    <w:rsid w:val="00366BE7"/>
    <w:rsid w:val="003A1207"/>
    <w:rsid w:val="003A226C"/>
    <w:rsid w:val="003A6278"/>
    <w:rsid w:val="003B4A34"/>
    <w:rsid w:val="003C3F2D"/>
    <w:rsid w:val="003F7E22"/>
    <w:rsid w:val="004006F0"/>
    <w:rsid w:val="004215EF"/>
    <w:rsid w:val="0042424F"/>
    <w:rsid w:val="004312B8"/>
    <w:rsid w:val="00450BFD"/>
    <w:rsid w:val="00453958"/>
    <w:rsid w:val="00467D7C"/>
    <w:rsid w:val="004A1B75"/>
    <w:rsid w:val="004B0304"/>
    <w:rsid w:val="0050559D"/>
    <w:rsid w:val="005061CE"/>
    <w:rsid w:val="00530357"/>
    <w:rsid w:val="00542EF3"/>
    <w:rsid w:val="00547633"/>
    <w:rsid w:val="00560AB0"/>
    <w:rsid w:val="0057293C"/>
    <w:rsid w:val="00590788"/>
    <w:rsid w:val="005C396A"/>
    <w:rsid w:val="005C6034"/>
    <w:rsid w:val="00621B32"/>
    <w:rsid w:val="00644B90"/>
    <w:rsid w:val="006816ED"/>
    <w:rsid w:val="006848DD"/>
    <w:rsid w:val="00684FB5"/>
    <w:rsid w:val="00693B44"/>
    <w:rsid w:val="006B6539"/>
    <w:rsid w:val="006C5E44"/>
    <w:rsid w:val="006D2837"/>
    <w:rsid w:val="006E0A06"/>
    <w:rsid w:val="006F033A"/>
    <w:rsid w:val="006F0384"/>
    <w:rsid w:val="00707989"/>
    <w:rsid w:val="00712ABE"/>
    <w:rsid w:val="00713098"/>
    <w:rsid w:val="00714E36"/>
    <w:rsid w:val="00720DF6"/>
    <w:rsid w:val="00733279"/>
    <w:rsid w:val="007364AD"/>
    <w:rsid w:val="0078007A"/>
    <w:rsid w:val="007B1AC6"/>
    <w:rsid w:val="007C7513"/>
    <w:rsid w:val="007D795A"/>
    <w:rsid w:val="00830C91"/>
    <w:rsid w:val="00853A98"/>
    <w:rsid w:val="008879C7"/>
    <w:rsid w:val="008D618E"/>
    <w:rsid w:val="008E6577"/>
    <w:rsid w:val="008E71FA"/>
    <w:rsid w:val="008F1011"/>
    <w:rsid w:val="008F2963"/>
    <w:rsid w:val="009106FC"/>
    <w:rsid w:val="00922F4E"/>
    <w:rsid w:val="00946135"/>
    <w:rsid w:val="00946FE8"/>
    <w:rsid w:val="00951775"/>
    <w:rsid w:val="00990CF0"/>
    <w:rsid w:val="00993FAC"/>
    <w:rsid w:val="009B675D"/>
    <w:rsid w:val="009C60C5"/>
    <w:rsid w:val="009D61C9"/>
    <w:rsid w:val="00A06725"/>
    <w:rsid w:val="00A10555"/>
    <w:rsid w:val="00A21328"/>
    <w:rsid w:val="00A338D9"/>
    <w:rsid w:val="00A434B7"/>
    <w:rsid w:val="00A53DFA"/>
    <w:rsid w:val="00A62B99"/>
    <w:rsid w:val="00A73AA2"/>
    <w:rsid w:val="00A76D70"/>
    <w:rsid w:val="00A81F39"/>
    <w:rsid w:val="00A90A0F"/>
    <w:rsid w:val="00A93862"/>
    <w:rsid w:val="00AB0979"/>
    <w:rsid w:val="00AF368A"/>
    <w:rsid w:val="00B16975"/>
    <w:rsid w:val="00B3475A"/>
    <w:rsid w:val="00B37891"/>
    <w:rsid w:val="00B44D01"/>
    <w:rsid w:val="00B61155"/>
    <w:rsid w:val="00B768F9"/>
    <w:rsid w:val="00B84329"/>
    <w:rsid w:val="00B93329"/>
    <w:rsid w:val="00B951CC"/>
    <w:rsid w:val="00BC10A3"/>
    <w:rsid w:val="00BC7194"/>
    <w:rsid w:val="00BC75BC"/>
    <w:rsid w:val="00BE4B22"/>
    <w:rsid w:val="00BE6803"/>
    <w:rsid w:val="00BF2F75"/>
    <w:rsid w:val="00C0489F"/>
    <w:rsid w:val="00C1730F"/>
    <w:rsid w:val="00C362C1"/>
    <w:rsid w:val="00C43697"/>
    <w:rsid w:val="00C62E72"/>
    <w:rsid w:val="00C73EC7"/>
    <w:rsid w:val="00C83CE6"/>
    <w:rsid w:val="00C8530C"/>
    <w:rsid w:val="00CA292F"/>
    <w:rsid w:val="00CA5D5A"/>
    <w:rsid w:val="00CB2B4A"/>
    <w:rsid w:val="00CB34E5"/>
    <w:rsid w:val="00CB3A29"/>
    <w:rsid w:val="00CC4A23"/>
    <w:rsid w:val="00D02E3E"/>
    <w:rsid w:val="00D26BA1"/>
    <w:rsid w:val="00D47AE7"/>
    <w:rsid w:val="00D759BF"/>
    <w:rsid w:val="00D82873"/>
    <w:rsid w:val="00DA257A"/>
    <w:rsid w:val="00DA41AA"/>
    <w:rsid w:val="00DC1C83"/>
    <w:rsid w:val="00E035C8"/>
    <w:rsid w:val="00E15EC2"/>
    <w:rsid w:val="00E16E21"/>
    <w:rsid w:val="00E235C8"/>
    <w:rsid w:val="00E253E8"/>
    <w:rsid w:val="00E36F06"/>
    <w:rsid w:val="00E37420"/>
    <w:rsid w:val="00E75A36"/>
    <w:rsid w:val="00E76A5C"/>
    <w:rsid w:val="00E85DF9"/>
    <w:rsid w:val="00EA46D1"/>
    <w:rsid w:val="00EB688E"/>
    <w:rsid w:val="00EC29DA"/>
    <w:rsid w:val="00ED7D6D"/>
    <w:rsid w:val="00EE18DC"/>
    <w:rsid w:val="00EE5143"/>
    <w:rsid w:val="00EF201C"/>
    <w:rsid w:val="00EF31E0"/>
    <w:rsid w:val="00EF628B"/>
    <w:rsid w:val="00F17742"/>
    <w:rsid w:val="00F446DB"/>
    <w:rsid w:val="00F44F14"/>
    <w:rsid w:val="00F54EBF"/>
    <w:rsid w:val="00F63445"/>
    <w:rsid w:val="00F76F1E"/>
    <w:rsid w:val="00F87FB3"/>
    <w:rsid w:val="00FA7E8E"/>
    <w:rsid w:val="00FB1901"/>
    <w:rsid w:val="00FC5DFF"/>
    <w:rsid w:val="00FC6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74"/>
    <w:pPr>
      <w:ind w:left="720"/>
      <w:contextualSpacing/>
    </w:pPr>
    <w:rPr>
      <w:rFonts w:eastAsiaTheme="minorHAnsi"/>
      <w:lang w:val="en-GB"/>
    </w:rPr>
  </w:style>
  <w:style w:type="character" w:styleId="CommentReference">
    <w:name w:val="annotation reference"/>
    <w:basedOn w:val="DefaultParagraphFont"/>
    <w:uiPriority w:val="99"/>
    <w:semiHidden/>
    <w:unhideWhenUsed/>
    <w:rsid w:val="006F033A"/>
    <w:rPr>
      <w:sz w:val="16"/>
      <w:szCs w:val="16"/>
    </w:rPr>
  </w:style>
  <w:style w:type="paragraph" w:styleId="CommentText">
    <w:name w:val="annotation text"/>
    <w:basedOn w:val="Normal"/>
    <w:link w:val="CommentTextChar"/>
    <w:uiPriority w:val="99"/>
    <w:semiHidden/>
    <w:unhideWhenUsed/>
    <w:rsid w:val="006F033A"/>
    <w:pPr>
      <w:spacing w:line="240" w:lineRule="auto"/>
    </w:pPr>
    <w:rPr>
      <w:sz w:val="20"/>
      <w:szCs w:val="20"/>
    </w:rPr>
  </w:style>
  <w:style w:type="character" w:customStyle="1" w:styleId="CommentTextChar">
    <w:name w:val="Comment Text Char"/>
    <w:basedOn w:val="DefaultParagraphFont"/>
    <w:link w:val="CommentText"/>
    <w:uiPriority w:val="99"/>
    <w:semiHidden/>
    <w:rsid w:val="006F033A"/>
    <w:rPr>
      <w:sz w:val="20"/>
      <w:szCs w:val="20"/>
    </w:rPr>
  </w:style>
  <w:style w:type="paragraph" w:styleId="CommentSubject">
    <w:name w:val="annotation subject"/>
    <w:basedOn w:val="CommentText"/>
    <w:next w:val="CommentText"/>
    <w:link w:val="CommentSubjectChar"/>
    <w:uiPriority w:val="99"/>
    <w:semiHidden/>
    <w:unhideWhenUsed/>
    <w:rsid w:val="006F033A"/>
    <w:rPr>
      <w:b/>
      <w:bCs/>
    </w:rPr>
  </w:style>
  <w:style w:type="character" w:customStyle="1" w:styleId="CommentSubjectChar">
    <w:name w:val="Comment Subject Char"/>
    <w:basedOn w:val="CommentTextChar"/>
    <w:link w:val="CommentSubject"/>
    <w:uiPriority w:val="99"/>
    <w:semiHidden/>
    <w:rsid w:val="006F033A"/>
    <w:rPr>
      <w:b/>
      <w:bCs/>
      <w:sz w:val="20"/>
      <w:szCs w:val="20"/>
    </w:rPr>
  </w:style>
  <w:style w:type="paragraph" w:styleId="BalloonText">
    <w:name w:val="Balloon Text"/>
    <w:basedOn w:val="Normal"/>
    <w:link w:val="BalloonTextChar"/>
    <w:uiPriority w:val="99"/>
    <w:semiHidden/>
    <w:unhideWhenUsed/>
    <w:rsid w:val="006F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3A"/>
    <w:rPr>
      <w:rFonts w:ascii="Tahoma" w:hAnsi="Tahoma" w:cs="Tahoma"/>
      <w:sz w:val="16"/>
      <w:szCs w:val="16"/>
    </w:rPr>
  </w:style>
  <w:style w:type="paragraph" w:styleId="FootnoteText">
    <w:name w:val="footnote text"/>
    <w:basedOn w:val="Normal"/>
    <w:link w:val="FootnoteTextChar"/>
    <w:uiPriority w:val="99"/>
    <w:semiHidden/>
    <w:unhideWhenUsed/>
    <w:rsid w:val="00681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6ED"/>
    <w:rPr>
      <w:sz w:val="20"/>
      <w:szCs w:val="20"/>
    </w:rPr>
  </w:style>
  <w:style w:type="character" w:styleId="FootnoteReference">
    <w:name w:val="footnote reference"/>
    <w:basedOn w:val="DefaultParagraphFont"/>
    <w:uiPriority w:val="99"/>
    <w:semiHidden/>
    <w:unhideWhenUsed/>
    <w:rsid w:val="006816ED"/>
    <w:rPr>
      <w:vertAlign w:val="superscript"/>
    </w:rPr>
  </w:style>
  <w:style w:type="paragraph" w:styleId="NoSpacing">
    <w:name w:val="No Spacing"/>
    <w:uiPriority w:val="1"/>
    <w:qFormat/>
    <w:rsid w:val="00344443"/>
    <w:pPr>
      <w:spacing w:after="0" w:line="240" w:lineRule="auto"/>
    </w:pPr>
  </w:style>
  <w:style w:type="character" w:styleId="Hyperlink">
    <w:name w:val="Hyperlink"/>
    <w:basedOn w:val="DefaultParagraphFont"/>
    <w:uiPriority w:val="99"/>
    <w:semiHidden/>
    <w:unhideWhenUsed/>
    <w:rsid w:val="00170CF9"/>
    <w:rPr>
      <w:color w:val="0000FF"/>
      <w:u w:val="single"/>
    </w:rPr>
  </w:style>
  <w:style w:type="paragraph" w:styleId="Revision">
    <w:name w:val="Revision"/>
    <w:hidden/>
    <w:uiPriority w:val="99"/>
    <w:semiHidden/>
    <w:rsid w:val="00354B0A"/>
    <w:pPr>
      <w:spacing w:after="0" w:line="240" w:lineRule="auto"/>
    </w:pPr>
  </w:style>
  <w:style w:type="character" w:styleId="FollowedHyperlink">
    <w:name w:val="FollowedHyperlink"/>
    <w:basedOn w:val="DefaultParagraphFont"/>
    <w:uiPriority w:val="99"/>
    <w:semiHidden/>
    <w:unhideWhenUsed/>
    <w:rsid w:val="00193E09"/>
    <w:rPr>
      <w:color w:val="800080" w:themeColor="followedHyperlink"/>
      <w:u w:val="single"/>
    </w:rPr>
  </w:style>
  <w:style w:type="character" w:customStyle="1" w:styleId="st">
    <w:name w:val="st"/>
    <w:basedOn w:val="DefaultParagraphFont"/>
    <w:rsid w:val="005C6034"/>
  </w:style>
  <w:style w:type="character" w:styleId="Emphasis">
    <w:name w:val="Emphasis"/>
    <w:basedOn w:val="DefaultParagraphFont"/>
    <w:uiPriority w:val="20"/>
    <w:qFormat/>
    <w:rsid w:val="005C6034"/>
    <w:rPr>
      <w:i/>
      <w:iCs/>
    </w:rPr>
  </w:style>
  <w:style w:type="paragraph" w:styleId="Header">
    <w:name w:val="header"/>
    <w:basedOn w:val="Normal"/>
    <w:link w:val="HeaderChar"/>
    <w:uiPriority w:val="99"/>
    <w:unhideWhenUsed/>
    <w:rsid w:val="00A1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55"/>
  </w:style>
  <w:style w:type="paragraph" w:styleId="Footer">
    <w:name w:val="footer"/>
    <w:basedOn w:val="Normal"/>
    <w:link w:val="FooterChar"/>
    <w:uiPriority w:val="99"/>
    <w:unhideWhenUsed/>
    <w:rsid w:val="00A1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74"/>
    <w:pPr>
      <w:ind w:left="720"/>
      <w:contextualSpacing/>
    </w:pPr>
    <w:rPr>
      <w:rFonts w:eastAsiaTheme="minorHAnsi"/>
      <w:lang w:val="en-GB"/>
    </w:rPr>
  </w:style>
  <w:style w:type="character" w:styleId="CommentReference">
    <w:name w:val="annotation reference"/>
    <w:basedOn w:val="DefaultParagraphFont"/>
    <w:uiPriority w:val="99"/>
    <w:semiHidden/>
    <w:unhideWhenUsed/>
    <w:rsid w:val="006F033A"/>
    <w:rPr>
      <w:sz w:val="16"/>
      <w:szCs w:val="16"/>
    </w:rPr>
  </w:style>
  <w:style w:type="paragraph" w:styleId="CommentText">
    <w:name w:val="annotation text"/>
    <w:basedOn w:val="Normal"/>
    <w:link w:val="CommentTextChar"/>
    <w:uiPriority w:val="99"/>
    <w:semiHidden/>
    <w:unhideWhenUsed/>
    <w:rsid w:val="006F033A"/>
    <w:pPr>
      <w:spacing w:line="240" w:lineRule="auto"/>
    </w:pPr>
    <w:rPr>
      <w:sz w:val="20"/>
      <w:szCs w:val="20"/>
    </w:rPr>
  </w:style>
  <w:style w:type="character" w:customStyle="1" w:styleId="CommentTextChar">
    <w:name w:val="Comment Text Char"/>
    <w:basedOn w:val="DefaultParagraphFont"/>
    <w:link w:val="CommentText"/>
    <w:uiPriority w:val="99"/>
    <w:semiHidden/>
    <w:rsid w:val="006F033A"/>
    <w:rPr>
      <w:sz w:val="20"/>
      <w:szCs w:val="20"/>
    </w:rPr>
  </w:style>
  <w:style w:type="paragraph" w:styleId="CommentSubject">
    <w:name w:val="annotation subject"/>
    <w:basedOn w:val="CommentText"/>
    <w:next w:val="CommentText"/>
    <w:link w:val="CommentSubjectChar"/>
    <w:uiPriority w:val="99"/>
    <w:semiHidden/>
    <w:unhideWhenUsed/>
    <w:rsid w:val="006F033A"/>
    <w:rPr>
      <w:b/>
      <w:bCs/>
    </w:rPr>
  </w:style>
  <w:style w:type="character" w:customStyle="1" w:styleId="CommentSubjectChar">
    <w:name w:val="Comment Subject Char"/>
    <w:basedOn w:val="CommentTextChar"/>
    <w:link w:val="CommentSubject"/>
    <w:uiPriority w:val="99"/>
    <w:semiHidden/>
    <w:rsid w:val="006F033A"/>
    <w:rPr>
      <w:b/>
      <w:bCs/>
      <w:sz w:val="20"/>
      <w:szCs w:val="20"/>
    </w:rPr>
  </w:style>
  <w:style w:type="paragraph" w:styleId="BalloonText">
    <w:name w:val="Balloon Text"/>
    <w:basedOn w:val="Normal"/>
    <w:link w:val="BalloonTextChar"/>
    <w:uiPriority w:val="99"/>
    <w:semiHidden/>
    <w:unhideWhenUsed/>
    <w:rsid w:val="006F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3A"/>
    <w:rPr>
      <w:rFonts w:ascii="Tahoma" w:hAnsi="Tahoma" w:cs="Tahoma"/>
      <w:sz w:val="16"/>
      <w:szCs w:val="16"/>
    </w:rPr>
  </w:style>
  <w:style w:type="paragraph" w:styleId="FootnoteText">
    <w:name w:val="footnote text"/>
    <w:basedOn w:val="Normal"/>
    <w:link w:val="FootnoteTextChar"/>
    <w:uiPriority w:val="99"/>
    <w:semiHidden/>
    <w:unhideWhenUsed/>
    <w:rsid w:val="00681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6ED"/>
    <w:rPr>
      <w:sz w:val="20"/>
      <w:szCs w:val="20"/>
    </w:rPr>
  </w:style>
  <w:style w:type="character" w:styleId="FootnoteReference">
    <w:name w:val="footnote reference"/>
    <w:basedOn w:val="DefaultParagraphFont"/>
    <w:uiPriority w:val="99"/>
    <w:semiHidden/>
    <w:unhideWhenUsed/>
    <w:rsid w:val="006816ED"/>
    <w:rPr>
      <w:vertAlign w:val="superscript"/>
    </w:rPr>
  </w:style>
  <w:style w:type="paragraph" w:styleId="NoSpacing">
    <w:name w:val="No Spacing"/>
    <w:uiPriority w:val="1"/>
    <w:qFormat/>
    <w:rsid w:val="00344443"/>
    <w:pPr>
      <w:spacing w:after="0" w:line="240" w:lineRule="auto"/>
    </w:pPr>
  </w:style>
  <w:style w:type="character" w:styleId="Hyperlink">
    <w:name w:val="Hyperlink"/>
    <w:basedOn w:val="DefaultParagraphFont"/>
    <w:uiPriority w:val="99"/>
    <w:semiHidden/>
    <w:unhideWhenUsed/>
    <w:rsid w:val="00170CF9"/>
    <w:rPr>
      <w:color w:val="0000FF"/>
      <w:u w:val="single"/>
    </w:rPr>
  </w:style>
  <w:style w:type="paragraph" w:styleId="Revision">
    <w:name w:val="Revision"/>
    <w:hidden/>
    <w:uiPriority w:val="99"/>
    <w:semiHidden/>
    <w:rsid w:val="00354B0A"/>
    <w:pPr>
      <w:spacing w:after="0" w:line="240" w:lineRule="auto"/>
    </w:pPr>
  </w:style>
  <w:style w:type="character" w:styleId="FollowedHyperlink">
    <w:name w:val="FollowedHyperlink"/>
    <w:basedOn w:val="DefaultParagraphFont"/>
    <w:uiPriority w:val="99"/>
    <w:semiHidden/>
    <w:unhideWhenUsed/>
    <w:rsid w:val="00193E09"/>
    <w:rPr>
      <w:color w:val="800080" w:themeColor="followedHyperlink"/>
      <w:u w:val="single"/>
    </w:rPr>
  </w:style>
  <w:style w:type="character" w:customStyle="1" w:styleId="st">
    <w:name w:val="st"/>
    <w:basedOn w:val="DefaultParagraphFont"/>
    <w:rsid w:val="005C6034"/>
  </w:style>
  <w:style w:type="character" w:styleId="Emphasis">
    <w:name w:val="Emphasis"/>
    <w:basedOn w:val="DefaultParagraphFont"/>
    <w:uiPriority w:val="20"/>
    <w:qFormat/>
    <w:rsid w:val="005C6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sireusa.org/" TargetMode="External"/><Relationship Id="rId1" Type="http://schemas.openxmlformats.org/officeDocument/2006/relationships/hyperlink" Target="http://www.prayaspune.org/peg/publications/item/1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4795-8E2D-4333-9378-151E425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Prayas</dc:creator>
  <cp:lastModifiedBy>Aditya</cp:lastModifiedBy>
  <cp:revision>6</cp:revision>
  <cp:lastPrinted>2011-08-04T08:40:00Z</cp:lastPrinted>
  <dcterms:created xsi:type="dcterms:W3CDTF">2012-01-10T05:55:00Z</dcterms:created>
  <dcterms:modified xsi:type="dcterms:W3CDTF">2013-03-29T04:32:00Z</dcterms:modified>
</cp:coreProperties>
</file>